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 xmlns:w16se="http://schemas.microsoft.com/office/word/2015/wordml/symex" xmlns:wp="http://schemas.openxmlformats.org/drawingml/2006/wordprocessingDrawing" xmlns:wpg="http://schemas.microsoft.com/office/word/2010/wordprocessingGroup" xmlns:wp14="http://schemas.microsoft.com/office/word/2010/wordprocessingDrawing" xmlns:v="urn:schemas-microsoft-com:vml" xmlns:mc="http://schemas.openxmlformats.org/markup-compatibility/2006" xmlns:w15="http://schemas.microsoft.com/office/word/2012/wordml" xmlns:wne="http://schemas.microsoft.com/office/word/2006/wordml" xmlns:cx1="http://schemas.microsoft.com/office/drawing/2015/9/8/chartex" xmlns:w14="http://schemas.microsoft.com/office/word/2010/wordml" xmlns:cx="http://schemas.microsoft.com/office/drawing/2014/chartex" xmlns:w10="urn:schemas-microsoft-com:office:word" xmlns:wpi="http://schemas.microsoft.com/office/word/2010/wordprocessingInk" xmlns:m="http://schemas.openxmlformats.org/officeDocument/2006/math" xmlns:o="urn:schemas-microsoft-com:office:office" xmlns:wps="http://schemas.microsoft.com/office/word/2010/wordprocessingShape" xmlns:r="http://schemas.openxmlformats.org/officeDocument/2006/relationships" xmlns:wpc="http://schemas.microsoft.com/office/word/2010/wordprocessingCanvas" mc:Ignorable="w14 w15 w16se wp14">
  <w:body>
    <w:p>
      <w:pPr>
        <w:pStyle w:val="Normal"/>
        <w:jc w:val="center"/>
        <w:rPr>
          <w:sz w:val="52"/>
          <w:szCs w:val="52"/>
          <w:rFonts w:ascii="Times New Roman" w:hAnsi="Times New Roman" w:eastAsia="方正小标宋_GBK"/>
        </w:rPr>
      </w:pPr>
      <w:r>
        <w:rPr>
          <w:sz w:val="52"/>
          <w:szCs w:val="52"/>
          <w:rFonts w:ascii="Times New Roman" w:hAnsi="Times New Roman" w:eastAsia="方正小标宋_GBK"/>
        </w:rPr>
      </w:r>
    </w:p>
    <w:p>
      <w:pPr>
        <w:pStyle w:val="Normal"/>
        <w:jc w:val="center"/>
        <w:rPr>
          <w:sz w:val="44"/>
          <w:szCs w:val="44"/>
          <w:rFonts w:ascii="方正小标宋简体" w:hAnsi="方正小标宋简体" w:eastAsia="方正小标宋简体" w:hint="eastAsia"/>
        </w:rPr>
      </w:pP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202</w:t>
      </w:r>
      <w:r>
        <w:rPr>
          <w:sz w:val="44"/>
          <w:lang w:val="en-US" w:eastAsia="zh-CN"/>
          <w:szCs w:val="44"/>
          <w:rFonts w:ascii="方正小标宋简体" w:hAnsi="方正小标宋简体" w:eastAsia="方正小标宋简体" w:hint="eastAsia"/>
        </w:rPr>
        <w:t xml:space="preserve">4</w:t>
      </w: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年度岳阳市妇女联合会</w:t>
      </w:r>
      <w:r>
        <w:rPr>
          <w:sz w:val="44"/>
          <w:szCs w:val="44"/>
          <w:rFonts w:ascii="方正小标宋简体" w:hAnsi="方正小标宋简体" w:eastAsia="方正小标宋简体" w:hint="eastAsia"/>
        </w:rPr>
      </w:r>
    </w:p>
    <w:p>
      <w:pPr>
        <w:pStyle w:val="Normal"/>
        <w:jc w:val="center"/>
        <w:rPr>
          <w:sz w:val="44"/>
          <w:szCs w:val="44"/>
          <w:rFonts w:ascii="方正小标宋简体" w:hAnsi="方正小标宋简体" w:eastAsia="方正小标宋简体" w:hint="eastAsia"/>
        </w:rPr>
      </w:pP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整体支出绩效自评报告</w:t>
      </w:r>
      <w:r>
        <w:rPr>
          <w:sz w:val="44"/>
          <w:szCs w:val="44"/>
          <w:rFonts w:ascii="方正小标宋简体" w:hAnsi="方正小标宋简体" w:eastAsia="方正小标宋简体" w:hint="eastAsia"/>
        </w:rPr>
      </w:r>
    </w:p>
    <w:p>
      <w:pPr>
        <w:pStyle w:val="Normal"/>
        <w:jc w:val="center"/>
        <w:rPr>
          <w:b w:val="1"/>
          <w:sz w:val="52"/>
          <w:szCs w:val="52"/>
          <w:rFonts w:ascii="Times New Roman" w:hAnsi="Times New Roman" w:eastAsia="方正小标宋_GBK"/>
        </w:rPr>
      </w:pPr>
      <w:r>
        <w:rPr>
          <w:b w:val="1"/>
          <w:sz w:val="52"/>
          <w:szCs w:val="52"/>
          <w:rFonts w:ascii="Times New Roman" w:hAnsi="Times New Roman" w:eastAsia="方正小标宋_GBK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spacing w:line="600" w:lineRule="exact"/>
        <w:rPr>
          <w:sz w:val="32"/>
          <w:szCs w:val="32"/>
          <w:rFonts w:ascii="Times New Roman" w:hAnsi="Times New Roman" w:eastAsia="仿宋_GB2312"/>
        </w:rPr>
      </w:pPr>
      <w:r>
        <w:rPr>
          <w:sz w:val="32"/>
          <w:szCs w:val="32"/>
          <w:rFonts w:ascii="Times New Roman" w:hAnsi="Times New Roman" w:eastAsia="仿宋_GB2312"/>
        </w:rPr>
        <w:t xml:space="preserve">部门（单位）名称：岳阳市妇联</w:t>
      </w:r>
      <w:r>
        <w:rPr>
          <w:u w:val="single"/>
          <w:sz w:val="32"/>
          <w:szCs w:val="32"/>
          <w:rFonts w:ascii="Times New Roman" w:hAnsi="Times New Roman" w:eastAsia="仿宋_GB2312"/>
        </w:rPr>
      </w:r>
    </w:p>
    <w:p>
      <w:pPr>
        <w:pStyle w:val="Normal"/>
        <w:jc w:val="center"/>
        <w:spacing w:line="600" w:lineRule="exact"/>
        <w:rPr>
          <w:sz w:val="32"/>
          <w:lang w:val="en-US" w:eastAsia="zh-CN"/>
          <w:szCs w:val="32"/>
          <w:rFonts w:ascii="Times New Roman" w:hAnsi="Times New Roman" w:eastAsia="楷体_GB2312" w:hint="eastAsia"/>
        </w:rPr>
      </w:pPr>
      <w:r>
        <w:rPr>
          <w:sz w:val="32"/>
          <w:lang w:val="en-US" w:eastAsia="zh-CN"/>
          <w:szCs w:val="32"/>
          <w:rFonts w:ascii="Times New Roman" w:hAnsi="Times New Roman" w:eastAsia="楷体_GB2312" w:hint="eastAsia"/>
        </w:rPr>
        <w:t xml:space="preserve">2025</w:t>
      </w:r>
      <w:r>
        <w:rPr>
          <w:sz w:val="32"/>
          <w:szCs w:val="32"/>
          <w:rFonts w:ascii="Times New Roman" w:hAnsi="Times New Roman" w:eastAsia="楷体_GB2312"/>
        </w:rPr>
        <w:t xml:space="preserve">年</w:t>
      </w:r>
      <w:r>
        <w:rPr>
          <w:sz w:val="32"/>
          <w:lang w:val="en-US" w:eastAsia="zh-CN"/>
          <w:szCs w:val="32"/>
          <w:rFonts w:ascii="Times New Roman" w:hAnsi="Times New Roman" w:eastAsia="楷体_GB2312" w:hint="eastAsia"/>
        </w:rPr>
        <w:t xml:space="preserve">5</w:t>
      </w:r>
      <w:r>
        <w:rPr>
          <w:sz w:val="32"/>
          <w:szCs w:val="32"/>
          <w:rFonts w:ascii="Times New Roman" w:hAnsi="Times New Roman" w:eastAsia="楷体_GB2312"/>
        </w:rPr>
        <w:t xml:space="preserve">月</w:t>
      </w:r>
      <w:r>
        <w:rPr>
          <w:sz w:val="32"/>
          <w:lang w:val="en-US" w:eastAsia="zh-CN"/>
          <w:szCs w:val="32"/>
          <w:rFonts w:ascii="Times New Roman" w:hAnsi="Times New Roman" w:eastAsia="楷体_GB2312" w:hint="eastAsia"/>
        </w:rPr>
        <w:t xml:space="preserve">15</w:t>
      </w:r>
      <w:r>
        <w:rPr>
          <w:sz w:val="32"/>
          <w:szCs w:val="32"/>
          <w:rFonts w:ascii="Times New Roman" w:hAnsi="Times New Roman" w:eastAsia="楷体_GB2312"/>
        </w:rPr>
        <w:t xml:space="preserve">日</w:t>
      </w:r>
      <w:r>
        <w:rPr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仿宋_GB2312"/>
        </w:rPr>
      </w:pPr>
      <w:r>
        <w:rPr>
          <w:sz w:val="32"/>
          <w:szCs w:val="32"/>
          <w:rFonts w:ascii="Times New Roman" w:hAnsi="Times New Roman" w:eastAsia="仿宋_GB2312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仿宋_GB2312"/>
        </w:rPr>
      </w:pPr>
      <w:r>
        <w:br w:type="page"/>
        <w:rPr>
          <w:sz w:val="32"/>
          <w:szCs w:val="32"/>
          <w:rFonts w:ascii="Times New Roman" w:hAnsi="Times New Roman" w:eastAsia="仿宋_GB2312"/>
        </w:rPr>
      </w: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202</w:t>
      </w:r>
      <w:r>
        <w:rPr>
          <w:sz w:val="44"/>
          <w:lang w:val="en-US" w:eastAsia="zh-CN"/>
          <w:szCs w:val="44"/>
          <w:rFonts w:ascii="方正小标宋简体" w:hAnsi="方正小标宋简体" w:eastAsia="方正小标宋简体" w:hint="eastAsia"/>
        </w:rPr>
        <w:t xml:space="preserve">4</w:t>
      </w: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年度岳阳市妇女联合会</w:t>
      </w:r>
      <w:r>
        <w:rPr>
          <w:sz w:val="44"/>
          <w:szCs w:val="44"/>
          <w:rFonts w:ascii="方正小标宋简体" w:hAnsi="方正小标宋简体" w:eastAsia="方正小标宋简体" w:hint="eastAsia"/>
        </w:rPr>
      </w:r>
    </w:p>
    <w:p>
      <w:pPr>
        <w:pStyle w:val="Normal"/>
        <w:jc w:val="center"/>
        <w:rPr>
          <w:sz w:val="44"/>
          <w:szCs w:val="44"/>
          <w:rFonts w:ascii="方正小标宋简体" w:hAnsi="方正小标宋简体" w:eastAsia="方正小标宋简体" w:hint="eastAsia"/>
        </w:rPr>
      </w:pP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整体支出绩效自评报告</w:t>
      </w:r>
      <w:r>
        <w:rPr>
          <w:sz w:val="44"/>
          <w:szCs w:val="44"/>
          <w:rFonts w:ascii="方正小标宋简体" w:hAnsi="方正小标宋简体" w:eastAsia="方正小标宋简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仿宋_GB2312"/>
        </w:rPr>
      </w:pPr>
      <w:r>
        <w:rPr>
          <w:sz w:val="32"/>
          <w:szCs w:val="32"/>
          <w:rFonts w:ascii="Times New Roman" w:hAnsi="Times New Roman" w:eastAsia="仿宋_GB2312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1"/>
        </w:numPr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部门（单位）基本情况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（一）职能职责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1.团结、教育全市各族各界妇女以及各类妇女组织同党中央在思想上、政治上、行动上保持高度一致，引领广大妇女听党话、跟党走。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2.紧密围绕市委、市政府的中心任务开展工作，团结、动员和组织全市妇女投身改革开放和社会主义经济建设、政治建设、文化建设、社会建设和生态文明建设，在新时代中国特色社会主义伟大实践中发挥积极作用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3.代表妇女参与国家和社会事务的民主决策、民主管理、民主监督，关注并加强研究涉及妇女儿童切身利益的热点、难点问题，及时向市委反映社情民意，提出对策建议；参与有关妇女儿童政策的研究与拟订，从源头上强化维护妇女儿童合法权益工作。扩大社会联动维权工作格局，协助有关部门或单位查处侵害妇女儿童权益的行为，为受侵害的妇女儿童提供帮助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4.推动落实男女平等基本国策落实，营造有利于妇女全面发展的社会环境。教育和引导妇女践行社会主义核心价值观，发扬自尊、自信、自立、自强的精神，提高综合素质，实现全面发展。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5.坚持联系和服务妇女群众的工作生命线。关心妇女工作生活，拓宽服务渠道，建设服务阵地，发展公益事业，壮大巾帼志愿者队伍，加强妇女儿童之家建设。加强与女性社会组织和社会各界的联系，推动全社会为妇女儿童和家庭服务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6.指导我市各级妇联依据《中华全国妇女联合会章程》和妇女代表大会的任务开展妇女工作，联系团体会员并给予工作指导。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7.创新家庭文明建设工作，弘扬家庭美德，培养良好家风，促进家庭和谐。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8.承担市妇女儿童工作委员会办公室的工作，推动落实妇女儿童发展规划各项目标任务。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9.完成市委、市政府交办的其他事项。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0"/>
        </w:numPr>
        <w:spacing w:after="120" w:afterAutospacing="0" w:before="120" w:beforeAutospacing="0" w:line="560" w:lineRule="exact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    （二）机构设置 内设部室（5个）：办公室（宣传部）、组织联络部、家庭和儿童工作部、权益部、妇女发展部，市政府妇女儿童工作委员会办公室设在妇联。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二、一般公共预算支出情况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3" w:firstLineChars="200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  <w:t xml:space="preserve">（一）基本支出情况</w:t>
      </w: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基本支出主要是保障机构正常运转、完成日常工作任务而发生的各项支出，包括在职和退休人员工资福利支出、三公经费、水电、办公经费等商品和服务支出。</w:t>
      </w:r>
      <w:r>
        <w:rPr>
          <w:color w:val="000000"/>
          <w:sz w:val="32"/>
          <w:lang w:val="en-US"/>
          <w:szCs w:val="32"/>
          <w:rFonts w:ascii="Times New Roman" w:hAnsi="Times New Roman" w:eastAsia="仿宋_GB2312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1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、基本支出具体使用情况：工资福利支出为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241.21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万；商品和服务支出为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40.02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万；对个人和家庭的补助为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50.82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万；资本性支出为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0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万。</w:t>
      </w:r>
      <w:r>
        <w:rPr>
          <w:color w:val="000000"/>
          <w:sz w:val="32"/>
          <w:lang w:val="en-US"/>
          <w:szCs w:val="32"/>
          <w:rFonts w:ascii="Times New Roman" w:hAnsi="Times New Roman" w:eastAsia="仿宋_GB2312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start"/>
        <w:suppressLineNumbers w:val="off"/>
        <w:ind w:firstLine="640" w:firstLineChars="20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、三公经费具体支出情况：我单位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202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4年三公经费总支出为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4.42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万，其中公务接待费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0.66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万；公务用车购置及运行维护费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3.76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万，因公出国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(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境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)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支出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0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万。</w:t>
      </w: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3" w:firstLineChars="200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  <w:t xml:space="preserve">（二）项目支出情况</w:t>
      </w: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1、项目资金收支情况分析</w:t>
      </w:r>
      <w:r>
        <w:rPr>
          <w:color w:val="000000"/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2024年年初市财政共安排专项资金10万，其中：业务工作经费支出10万元，主要用于 妇儿工委专项工作经费</w:t>
      </w: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5万、信访维权专项工作经费5</w:t>
      </w: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万，主要用于工作经费等方面。</w:t>
      </w:r>
      <w:r>
        <w:rPr>
          <w:color w:val="000000"/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2、专项资金实际使用情况分析</w:t>
      </w:r>
      <w:r>
        <w:rPr>
          <w:color w:val="000000"/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2024年共支出专项资金1055.05万，主要是省儿童基金会对困境妇儿等青少年妇女事业专项捐款支出1055.05万。</w:t>
      </w:r>
      <w:r>
        <w:rPr>
          <w:color w:val="000000"/>
          <w:sz w:val="32"/>
          <w:lang w:val="en-US" w:eastAsia="zh-CN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3、专项资金管理情况分析</w:t>
      </w:r>
      <w:r>
        <w:rPr>
          <w:color w:val="000000"/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start"/>
        <w:suppressLineNumbers w:val="off"/>
        <w:ind w:firstLine="640" w:firstLineChars="20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专项资金实行综合预算，量入为出，专款专用，确保工作顺利开展。制定专项资金管理办法，规范专项资金使用；严格政府采购程序，做到按章办事，规范操作。</w:t>
      </w: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2"/>
        </w:numPr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政府性基金预算支出情况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UserStyle_1"/>
        <w:widowControl w:val="1"/>
        <w:keepNext w:val="0"/>
        <w:keepLines w:val="0"/>
        <w:suppressLineNumbers w:val="off"/>
        <w:spacing w:line="560" w:lineRule="exact"/>
        <w:ind w:firstLine="0" w:firstLineChars="0" w:left="560" w:leftChars="200"/>
        <w:rPr>
          <w:color w:val="000000"/>
          <w:sz w:val="32"/>
          <w:lang w:eastAsia="zh-CN"/>
          <w:szCs w:val="32"/>
          <w:rFonts w:ascii="Times New Roman" w:hAnsi="Times New Roman" w:eastAsia="仿宋_GB2312" w:hint="eastAsia"/>
        </w:rPr>
      </w:pPr>
      <w:r>
        <w:rPr>
          <w:color w:val="000000"/>
          <w:sz w:val="32"/>
          <w:lang w:eastAsia="zh-CN"/>
          <w:szCs w:val="32"/>
          <w:rFonts w:ascii="Times New Roman" w:hAnsi="Times New Roman" w:eastAsia="仿宋_GB2312" w:hint="eastAsia"/>
        </w:rPr>
        <w:t xml:space="preserve">本单位无政府性基金预算支出。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2"/>
        </w:numPr>
        <w:spacing w:line="640" w:lineRule="exact"/>
        <w:ind w:firstLine="640" w:firstLineChars="200" w:left="0" w:leftChars="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国有资本经营预算支出情况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0" w:firstLineChars="0" w:left="560" w:leftChars="20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本单位无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国有资本经营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预算支出。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2"/>
        </w:numPr>
        <w:spacing w:line="640" w:lineRule="exact"/>
        <w:ind w:firstLine="640" w:firstLineChars="200" w:left="0" w:leftChars="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社会保险基金预算支出情况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0" w:firstLineChars="0" w:left="560" w:leftChars="20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本单位无社会保险基金预算支出。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六、部门整体支出绩效情况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  <w:t xml:space="preserve">2024年，我会在市委市政府的坚强领导下，以习近平新时代中国特色社会主义思想为指导，紧扣落实省政府真抓实干督查激励措施，践行为民服务宗旨，全面履职尽责，守正创新，真抓实干，较好地完成了各项绩效目标。</w:t>
      </w:r>
      <w:r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  <w:t xml:space="preserve">预算控制率96.04%，财政供养人员控制在预算编制以内，“三公”经费支出总额较上年增加2.66万元，增加150.9%，主要是上年费用未及时支付。预算执行方面：根据“总量控制、计划管理”的要求从严控制行政经费，压缩公务费开支，严格控制“三公”经费，支出总额控制在预算总额以内。预算管理方面：切实有效地执行了各项财务管理制度、车辆、资产内部管理制度，资产配置严格政府采购，按照预算科目规定使用财政资金，保障资金支出的规范化、制度化，项目资金坚持按专项资金管理制度有效执行，确保专款专用。履职效能方面：一是坚持党建引领，建设清廉机关；二是全面真抓实干，纵深推进组织改革；三是贴近服务民生，创新拓展服务；四是坚持问题导向，全面加强自身建设，群众满意度达到95%以上。</w:t>
      </w:r>
      <w:r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七、存在的问题及原因分析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3" w:firstLineChars="200" w:left="0" w:right="0"/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</w:pPr>
      <w:r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  <w:t xml:space="preserve">（一）履职效能方面：绩效评价人员匮乏，专业能力不足</w:t>
      </w:r>
      <w:r>
        <w:rPr>
          <w:b w:val="1"/>
          <w:sz w:val="32"/>
          <w:lang w:val="en-US"/>
          <w:szCs w:val="32"/>
          <w:bCs w:val="0"/>
          <w:rFonts w:ascii="Times New Roman" w:hAnsi="Times New Roman" w:eastAsia="楷体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640" w:firstLineChars="200" w:left="0" w:right="0"/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</w:pP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目前未设置预算绩效管理部门，无人员配备，主要由财务人员兼职，时间和精力分配不足。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同时，财务人员大多是会计、财务管理、经济学等专业，而绩效评价工作人员不仅需要掌握财经知识，还要熟悉相关政策、了解财政、预算、项目业务，这就要求必须具备管理学、法学、统计学、工程学等方面的知识，并持续更新知识体系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另外，第三方评价机构对行业部门业务不够熟悉，技术支撑力量不够主动到位，需要进行规范。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3" w:firstLineChars="200" w:left="0" w:right="0"/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</w:pPr>
      <w:r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  <w:t xml:space="preserve">（二）预算和绩效管理方面：绩效目标编制不够规范完整</w:t>
      </w:r>
      <w:r>
        <w:rPr>
          <w:b w:val="1"/>
          <w:sz w:val="32"/>
          <w:lang w:val="en-US"/>
          <w:szCs w:val="32"/>
          <w:bCs w:val="0"/>
          <w:rFonts w:ascii="Times New Roman" w:hAnsi="Times New Roman" w:eastAsia="楷体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640" w:firstLineChars="200" w:left="0" w:right="0"/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</w:pP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绩效目标是项目立项、预算执行、绩效评价的依据。现阶段缺乏对资金使用效果、效率、预算执行刚性约束等动态情况具体、有针对性的考量，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少数绩效目标指标没有细化量化。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3" w:firstLineChars="200" w:left="0" w:right="0"/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</w:pPr>
      <w:r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  <w:t xml:space="preserve">（三）资金分配使用和管理方面</w:t>
      </w:r>
      <w:r>
        <w:rPr>
          <w:b w:val="1"/>
          <w:sz w:val="32"/>
          <w:lang w:val="en-US"/>
          <w:szCs w:val="32"/>
          <w:bCs w:val="0"/>
          <w:rFonts w:ascii="Times New Roman" w:hAnsi="Times New Roman" w:eastAsia="楷体_GB2312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hd w:val="clear" w:color="auto" w:fill="FFFFFF"/>
        <w:spacing w:after="0" w:afterAutospacing="0" w:before="0" w:beforeAutospacing="0" w:line="480" w:lineRule="atLeast"/>
        <w:ind w:firstLine="640" w:firstLineChars="200" w:left="0" w:leftChars="0" w:right="0"/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</w:pP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资金分配与项目预算不完全匹配，目前存在经费保障不足的情况。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3" w:firstLineChars="200" w:left="0" w:right="0"/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</w:pPr>
      <w:r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  <w:t xml:space="preserve">（四）资产和财务管理与政府采购方面</w:t>
      </w:r>
      <w:r>
        <w:rPr>
          <w:b w:val="1"/>
          <w:sz w:val="32"/>
          <w:lang w:val="en-US"/>
          <w:szCs w:val="32"/>
          <w:bCs w:val="0"/>
          <w:rFonts w:ascii="Times New Roman" w:hAnsi="Times New Roman" w:eastAsia="楷体_GB2312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start"/>
        <w:suppressLineNumbers w:val="off"/>
        <w:ind w:firstLine="640" w:firstLineChars="20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资产采购不够科学。在实际预算执行中，全年实际执行与年初编制预算会存在一定偏差。部分资产管理存在报废年限长</w:t>
      </w:r>
      <w:r>
        <w:rPr>
          <w:sz w:val="32"/>
          <w:szCs w:val="32"/>
          <w:rFonts w:ascii="Times New Roman" w:hAnsi="Times New Roman" w:eastAsia="仿宋_GB2312"/>
        </w:rPr>
        <w:t xml:space="preserve">。</w:t>
      </w:r>
      <w:r>
        <w:rPr>
          <w:sz w:val="32"/>
          <w:szCs w:val="32"/>
          <w:rFonts w:ascii="Times New Roman" w:hAnsi="Times New Roman" w:eastAsia="仿宋_GB2312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3"/>
        </w:numPr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下一步改进措施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420" w:left="0" w:right="0"/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</w:pPr>
      <w:r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  <w:t xml:space="preserve"> （一）加快基层队伍建设，提高绩效意识和管理人员专业水平。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引入第三方机构，并做好专家和第三方机构的交流和监管。建议市级强化专业培训和学习交流，培养“一专多能”的复合型人才。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420" w:left="0" w:right="0"/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</w:pPr>
      <w:r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  <w:t xml:space="preserve">（二）强化绩效目标管理，严格相关程序。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绩效目标要随文下达，有项目就有绩效目标，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在事前绩效评估和项目评审的基础上，按照具体可衡量、关联可细化、现实可达到、轻重相匹配的原则系统分析，科学设立绩效目标，反映资金活动的范围、方向与效果。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420" w:left="0" w:right="0"/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</w:pPr>
      <w:r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  <w:t xml:space="preserve">（三）科学分配预算资金，切实有效保障资金供给。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需财政部门加强开源节流，充分保障单位人员经费和公用经费开支，项目设定后严格按年初计划予以保障，以便工作能顺利开展。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420" w:left="0" w:right="0"/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</w:pPr>
      <w:r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  <w:t xml:space="preserve">（四）全面编制预算，充分运用信息化手段不断完善资产管理水平。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严格加强政府采购预算管理工作。政府采购预算编制是否科学、规范，采购项目是否完善、细致直接关系到整个政府采购活动的质量。进一步优化政府采购预算的编制，细化采购项目，制定切实可行的采购计划，增强采购的计划性，减少随意性。</w:t>
      </w:r>
      <w:r>
        <w:rPr>
          <w:sz w:val="32"/>
          <w:lang w:val="en-US" w:eastAsia="zh-CN"/>
          <w:szCs w:val="32"/>
          <w:rFonts w:ascii="Times New Roman" w:hAnsi="Times New Roman" w:eastAsia="黑体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九、部门整体支出绩效自评结果拟应用和公开情况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按要求予以公开。</w:t>
      </w:r>
      <w:r>
        <w:rPr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仿宋_GB2312"/>
        </w:rPr>
      </w:pPr>
      <w:r>
        <w:rPr>
          <w:sz w:val="32"/>
          <w:szCs w:val="32"/>
          <w:rFonts w:ascii="Times New Roman" w:hAnsi="Times New Roman" w:eastAsia="仿宋_GB2312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仿宋_GB2312" w:hAnsi="仿宋_GB2312" w:eastAsia="仿宋_GB2312" w:hint="eastAsia"/>
        </w:rPr>
      </w:pPr>
      <w:r>
        <w:rPr>
          <w:sz w:val="32"/>
          <w:szCs w:val="32"/>
          <w:rFonts w:ascii="仿宋_GB2312" w:hAnsi="仿宋_GB2312" w:eastAsia="仿宋_GB2312" w:hint="eastAsia"/>
        </w:rPr>
        <w:t xml:space="preserve">报告需要以下附件：</w:t>
      </w:r>
      <w:r>
        <w:rPr>
          <w:sz w:val="32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仿宋_GB2312" w:hAnsi="仿宋_GB2312" w:eastAsia="仿宋_GB2312" w:hint="eastAsia"/>
        </w:rPr>
      </w:pPr>
      <w:r>
        <w:rPr>
          <w:sz w:val="32"/>
          <w:szCs w:val="32"/>
          <w:rFonts w:ascii="仿宋_GB2312" w:hAnsi="仿宋_GB2312" w:eastAsia="仿宋_GB2312" w:hint="eastAsia"/>
        </w:rPr>
        <w:t xml:space="preserve">1</w:t>
      </w:r>
      <w:r>
        <w:rPr>
          <w:sz w:val="32"/>
          <w:lang w:val="en-US" w:eastAsia="zh-CN"/>
          <w:szCs w:val="32"/>
          <w:rFonts w:ascii="仿宋_GB2312" w:hAnsi="仿宋_GB2312" w:eastAsia="仿宋_GB2312" w:hint="eastAsia"/>
        </w:rPr>
        <w:t xml:space="preserve">.</w:t>
      </w:r>
      <w:r>
        <w:rPr>
          <w:sz w:val="32"/>
          <w:lang w:val="en-US" w:eastAsia="zh-CN" w:bidi="ar"/>
          <w:szCs w:val="32"/>
          <w:rFonts w:ascii="仿宋_GB2312" w:hAnsi="仿宋_GB2312" w:eastAsia="仿宋_GB2312" w:hint="eastAsia"/>
        </w:rPr>
        <w:t xml:space="preserve">2024年度部门整体</w:t>
      </w:r>
      <w:r>
        <w:rPr>
          <w:sz w:val="32"/>
          <w:szCs w:val="32"/>
          <w:rFonts w:ascii="仿宋_GB2312" w:hAnsi="仿宋_GB2312" w:eastAsia="仿宋_GB2312" w:hint="eastAsia"/>
        </w:rPr>
        <w:t xml:space="preserve">支出绩效评价基础数据表</w:t>
      </w:r>
      <w:r>
        <w:rPr>
          <w:sz w:val="32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仿宋_GB2312" w:hAnsi="仿宋_GB2312" w:eastAsia="仿宋_GB2312" w:hint="eastAsia"/>
        </w:rPr>
      </w:pPr>
      <w:r>
        <w:rPr>
          <w:sz w:val="32"/>
          <w:szCs w:val="32"/>
          <w:rFonts w:ascii="仿宋_GB2312" w:hAnsi="仿宋_GB2312" w:eastAsia="仿宋_GB2312" w:hint="eastAsia"/>
        </w:rPr>
        <w:t xml:space="preserve">2</w:t>
      </w:r>
      <w:r>
        <w:rPr>
          <w:sz w:val="32"/>
          <w:lang w:val="en-US" w:eastAsia="zh-CN"/>
          <w:szCs w:val="32"/>
          <w:rFonts w:ascii="仿宋_GB2312" w:hAnsi="仿宋_GB2312" w:eastAsia="仿宋_GB2312" w:hint="eastAsia"/>
        </w:rPr>
        <w:t xml:space="preserve">.</w:t>
      </w:r>
      <w:r>
        <w:rPr>
          <w:sz w:val="32"/>
          <w:lang w:val="en-US" w:eastAsia="zh-CN" w:bidi="ar"/>
          <w:szCs w:val="32"/>
          <w:rFonts w:ascii="仿宋_GB2312" w:hAnsi="仿宋_GB2312" w:eastAsia="仿宋_GB2312" w:hint="eastAsia"/>
        </w:rPr>
        <w:t xml:space="preserve">2024年度部门</w:t>
      </w:r>
      <w:r>
        <w:rPr>
          <w:sz w:val="32"/>
          <w:szCs w:val="32"/>
          <w:rFonts w:ascii="仿宋_GB2312" w:hAnsi="仿宋_GB2312" w:eastAsia="仿宋_GB2312" w:hint="eastAsia"/>
        </w:rPr>
        <w:t xml:space="preserve">整体支出绩效自评表</w:t>
      </w:r>
      <w:r>
        <w:rPr>
          <w:sz w:val="32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仿宋_GB2312" w:hAnsi="仿宋_GB2312" w:eastAsia="仿宋_GB2312" w:hint="eastAsia"/>
        </w:rPr>
      </w:pPr>
      <w:r>
        <w:rPr>
          <w:sz w:val="32"/>
          <w:szCs w:val="32"/>
          <w:rFonts w:ascii="仿宋_GB2312" w:hAnsi="仿宋_GB2312" w:eastAsia="仿宋_GB2312" w:hint="eastAsia"/>
        </w:rPr>
        <w:t xml:space="preserve">3</w:t>
      </w:r>
      <w:r>
        <w:rPr>
          <w:sz w:val="32"/>
          <w:lang w:val="en-US" w:eastAsia="zh-CN"/>
          <w:szCs w:val="32"/>
          <w:rFonts w:ascii="仿宋_GB2312" w:hAnsi="仿宋_GB2312" w:eastAsia="仿宋_GB2312" w:hint="eastAsia"/>
        </w:rPr>
        <w:t xml:space="preserve">.</w:t>
      </w:r>
      <w:r>
        <w:rPr>
          <w:sz w:val="32"/>
          <w:lang w:val="en-US" w:eastAsia="zh-CN" w:bidi="ar"/>
          <w:szCs w:val="32"/>
          <w:rFonts w:ascii="仿宋_GB2312" w:hAnsi="仿宋_GB2312" w:eastAsia="仿宋_GB2312" w:hint="eastAsia"/>
        </w:rPr>
        <w:t xml:space="preserve">2024年度</w:t>
      </w:r>
      <w:r>
        <w:rPr>
          <w:sz w:val="32"/>
          <w:szCs w:val="32"/>
          <w:rFonts w:ascii="仿宋_GB2312" w:hAnsi="仿宋_GB2312" w:eastAsia="仿宋_GB2312" w:hint="eastAsia"/>
        </w:rPr>
        <w:t xml:space="preserve">项目支出绩效自评表</w:t>
      </w:r>
      <w:r>
        <w:rPr>
          <w:sz w:val="32"/>
          <w:szCs w:val="32"/>
          <w:rFonts w:ascii="仿宋_GB2312" w:hAnsi="仿宋_GB2312" w:eastAsia="仿宋_GB2312" w:hint="eastAsia"/>
        </w:rPr>
      </w:r>
    </w:p>
    <w:p>
      <w:pPr>
        <w:pStyle w:val="Normal"/>
        <w:sectPr>
          <w:type w:val="continuous"/>
          <w:docGrid w:type="lines" w:linePitch="312" w:charSpace="0"/>
          <w:pgSz w:w="11906" w:h="16838"/>
          <w:pgMar w:top="1440" w:right="1800" w:bottom="1440" w:left="1800" w:header="851" w:footer="992" w:gutter="0"/>
        </w:sectPr>
      </w:pPr>
    </w:p>
    <w:p/>
    <w:sectPr>
      <w:type w:val="continuous"/>
      <w:docGrid w:type="lines" w:linePitch="312" w:charSpace="0"/>
      <w:pgSz w:w="11906" w:h="16838"/>
      <w:pgMar w:top="1440" w:right="1800" w:bottom="1440" w:left="1800" w:header="851" w:footer="992" w:gutter="0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a="http://schemas.openxmlformats.org/drawingml/2006/main" xmlns:wpi="http://schemas.microsoft.com/office/word/2010/wordprocessingInk" xmlns:w10="urn:schemas-microsoft-com:office:word" xmlns:m="http://schemas.openxmlformats.org/officeDocument/2006/math" xmlns:w="http://schemas.openxmlformats.org/wordprocessingml/2006/main" xmlns:o="urn:schemas-microsoft-com:office:office" xmlns:wp="http://schemas.openxmlformats.org/drawingml/2006/wordprocessingDrawing" xmlns:wpg="http://schemas.microsoft.com/office/word/2010/wordprocessingGroup" xmlns:wp14="http://schemas.microsoft.com/office/word/2010/wordprocessingDrawing" xmlns:v="urn:schemas-microsoft-com:vml" xmlns:w14="http://schemas.microsoft.com/office/word/2010/wordml" xmlns:mc="http://schemas.openxmlformats.org/markup-compatibility/2006" xmlns:wne="http://schemas.microsoft.com/office/word/2006/wordml" xmlns:wpc="http://schemas.microsoft.com/office/word/2010/wordprocessingCanvas" xmlns:r="http://schemas.openxmlformats.org/officeDocument/2006/relationships" xmlns:wps="http://schemas.microsoft.com/office/word/2010/wordprocessingShape" mc:Ignorable="w14 wp14">
  <w:abstractNum w:abstractNumId="0">
    <w:nsid w:val="93337B0F"/>
    <w:multiLevelType w:val="singleLevel"/>
    <w:tmpl w:val="93337B0F"/>
    <w:lvl w:ilvl="0">
      <w:start w:val="8"/>
      <w:numFmt w:val="chineseCounting"/>
      <w:suff w:val="nothing"/>
      <w:lvlText w:val="%1、"/>
      <w:lvlJc w:val="left"/>
      <w:pPr>
        <w:pStyle w:val="Normal"/>
      </w:pPr>
      <w:rPr>
        <w:rFonts w:hint="eastAsia"/>
      </w:rPr>
    </w:lvl>
  </w:abstractNum>
  <w:abstractNum w:abstractNumId="1">
    <w:nsid w:val="15B41E28"/>
    <w:multiLevelType w:val="singleLevel"/>
    <w:tmpl w:val="15B41E28"/>
    <w:lvl w:ilvl="0">
      <w:start w:val="1"/>
      <w:numFmt w:val="chineseCounting"/>
      <w:suff w:val="nothing"/>
      <w:lvlText w:val="%1、"/>
      <w:lvlJc w:val="left"/>
      <w:pPr>
        <w:pStyle w:val="Normal"/>
      </w:pPr>
      <w:rPr>
        <w:rFonts w:hint="eastAsia"/>
      </w:rPr>
    </w:lvl>
  </w:abstractNum>
  <w:abstractNum w:abstractNumId="2">
    <w:nsid w:val="5F10AED5"/>
    <w:multiLevelType w:val="singleLevel"/>
    <w:tmpl w:val="5F10AED5"/>
    <w:lvl w:ilvl="0">
      <w:start w:val="3"/>
      <w:numFmt w:val="chineseCounting"/>
      <w:suff w:val="nothing"/>
      <w:lvlText w:val="%1、"/>
      <w:lvlJc w:val="left"/>
      <w:pPr>
        <w:pStyle w:val="Normal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defaultTabStop w:val="420"/>
  <w:displayHorizontalDrawingGridEvery w:val="1"/>
  <w:displayVerticalDrawingGridEvery w:val="1"/>
  <w:characterSpacingControl w:val="compressPunctuation"/>
  <w:zoom w:percent="100"/>
  <w:compat>
    <w:balanceSingleByteDoubleByteWidth/>
    <w:doNotLeaveBackslashAlone/>
    <w:ulTrailSpace/>
    <w:doNotExpandShiftReturn/>
    <w:adjustLineHeightInTable/>
    <w:compatSetting w:val="11" w:uri="http://schemas.microsoft.com/office/word" w:name="compatibilityMode"/>
  </w:compat>
  <w:rsids/>
  <w:clrSchemeMapping tx1="dk1" tx2="dk2" bg1="lt1" bg2="lt2"/>
  <w:decimalSymbol/>
  <w:listSeparator/>
</w:settings>
</file>

<file path=word/styles.xml><?xml version="1.0" encoding="utf-8"?>
<w:styles xmlns:w="http://schemas.openxmlformats.org/wordprocessingml/2006/main">
  <w:docDefaults>
    <w:rPrDefault>
      <w:rPr>
        <w:lang w:val="en-US"/>
        <w:rFonts w:ascii="Times New Roman" w:hAnsi="Times New Roman" w:eastAsia="宋体" w:cs="Times New Roman"/>
      </w:rPr>
    </w:rPrDefault>
    <w:pPrDefault/>
  </w:docDefaults>
  <w:style w:type="paragraph" w:styleId="Normal">
    <w:name w:val="Normal"/>
    <w:link w:val="Normal"/>
    <w:pPr>
      <w:widowControl w:val="0"/>
      <w:jc w:val="both"/>
    </w:pPr>
    <w:rPr>
      <w:sz w:val="28"/>
      <w:lang w:val="en-US" w:eastAsia="zh-CN" w:bidi="ar-SA"/>
      <w:szCs w:val="24"/>
      <w:kern w:val="0"/>
      <w:rFonts w:ascii="仿宋" w:hAnsi="仿宋" w:eastAsia="宋体"/>
    </w:rPr>
  </w:style>
  <w:style w:type="character" w:styleId="NormalCharacter">
    <w:name w:val="默认段落字体"/>
    <w:link w:val="Normal"/>
    <w:semiHidden/>
  </w:style>
  <w:style w:type="table" w:styleId="TableNormal">
    <w:name w:val="普通表格"/>
    <w:link w:val="Normal"/>
    <w:semiHidden/>
    <w:pPr>
      <w:widowControl w:val="1"/>
      <w:keepNext w:val="0"/>
      <w:keepLines w:val="0"/>
      <w:suppressLineNumbers w:val="off"/>
      <w:spacing w:after="0" w:afterAutospacing="0" w:before="0" w:beforeAutospacing="0"/>
      <w:ind w:left="0" w:right="0"/>
    </w:pPr>
    <w:rPr>
      <w:sz w:val="20"/>
      <w:szCs w:val="20"/>
      <w:rFonts w:ascii="Times New Roman" w:hAnsi="Times New Roman"/>
    </w:rPr>
  </w:style>
  <w:style w:type="paragraph" w:styleId="BodyText">
    <w:name w:val="正文文本"/>
    <w:basedOn w:val="Normal"/>
    <w:link w:val="UserStyle_0"/>
    <w:pPr>
      <w:spacing w:after="120" w:afterAutospacing="0"/>
    </w:pPr>
  </w:style>
  <w:style w:type="character" w:styleId="UserStyle_0">
    <w:name w:val="正文文本 字符"/>
    <w:basedOn w:val="NormalCharacter"/>
    <w:link w:val="BodyText"/>
    <w:rPr>
      <w:sz w:val="28"/>
      <w:szCs w:val="24"/>
      <w:rFonts w:ascii="仿宋" w:hAnsi="仿宋" w:eastAsia="仿宋" w:hint="eastAsia"/>
    </w:rPr>
  </w:style>
  <w:style w:type="paragraph" w:styleId="HtmlNormal">
    <w:name w:val="普通(网站)"/>
    <w:basedOn w:val="Normal"/>
    <w:link w:val="Normal"/>
    <w:pPr>
      <w:widowControl w:val="0"/>
      <w:keepNext w:val="0"/>
      <w:keepLines w:val="0"/>
      <w:jc w:val="start"/>
      <w:suppressLineNumbers w:val="off"/>
      <w:spacing w:after="100" w:afterAutospacing="1" w:before="100" w:beforeAutospacing="1"/>
      <w:ind w:left="0" w:right="0"/>
    </w:pPr>
    <w:rPr>
      <w:sz w:val="24"/>
      <w:lang w:val="en-US" w:eastAsia="zh-CN" w:bidi="ar"/>
      <w:szCs w:val="24"/>
      <w:kern w:val="0"/>
      <w:rFonts w:ascii="仿宋" w:hAnsi="仿宋" w:eastAsia="宋体" w:hint="eastAsia"/>
    </w:rPr>
  </w:style>
  <w:style w:type="paragraph" w:styleId="179">
    <w:name w:val="List Paragraph"/>
    <w:basedOn w:val="Normal"/>
    <w:link w:val="Normal"/>
    <w:pPr>
      <w:ind w:firstLine="420" w:firstLineChars="200"/>
    </w:pPr>
    <w:rPr>
      <w:szCs w:val="22"/>
      <w:rFonts w:ascii="Calibri" w:hAnsi="Calibri"/>
    </w:rPr>
  </w:style>
  <w:style w:type="paragraph" w:styleId="UserStyle_1">
    <w:name w:val="msolistparagraph"/>
    <w:basedOn w:val="Normal"/>
    <w:link w:val="Normal"/>
    <w:pPr>
      <w:widowControl w:val="0"/>
      <w:keepNext w:val="0"/>
      <w:keepLines w:val="0"/>
      <w:jc w:val="both"/>
      <w:suppressLineNumbers w:val="off"/>
      <w:spacing w:after="0" w:afterAutospacing="0" w:before="0" w:beforeAutospacing="0"/>
      <w:ind w:firstLine="420" w:firstLineChars="200" w:left="0" w:right="0"/>
    </w:pPr>
    <w:rPr>
      <w:sz w:val="28"/>
      <w:lang w:val="en-US" w:eastAsia="zh-CN" w:bidi="ar"/>
      <w:szCs w:val="22"/>
      <w:kern w:val="0"/>
      <w:rFonts w:ascii="Calibri" w:hAnsi="Calibri" w:eastAsia="宋体"/>
    </w:r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numbering" Target="numbering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/>
  <TotalTime>0</TotalTime>
  <Pages>0</Pages>
  <Words>0</Words>
  <Characters>0</Characters>
  <Application/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dcmitype="http://purl.org/dc/dcmitype/" xmlns:xsi="http://www.w3.org/2001/XMLSchema-instance">
  <dc:title/>
  <dc:subject/>
  <dc:creator/>
  <cp:keywords/>
  <dc:description/>
  <cp:lastModifiedBy/>
  <cp:revision>0</cp:revision>
</cp:coreProperties>
</file>

<file path=tbak/document.xml><?xml version="1.0" encoding="utf-8"?>
<w:document xmlns:wps="http://schemas.microsoft.com/office/word/2010/wordprocessingShape" xmlns:wpc="http://schemas.microsoft.com/office/word/2010/wordprocessingCanvas" xmlns:r="http://schemas.openxmlformats.org/officeDocument/2006/relationships" xmlns:o="urn:schemas-microsoft-com:office:office" xmlns:m="http://schemas.openxmlformats.org/officeDocument/2006/math" xmlns:wpi="http://schemas.microsoft.com/office/word/2010/wordprocessingInk" xmlns:w10="urn:schemas-microsoft-com:office:word" xmlns:cx="http://schemas.microsoft.com/office/drawing/2014/chartex" xmlns:w14="http://schemas.microsoft.com/office/word/2010/wordml" xmlns:cx1="http://schemas.microsoft.com/office/drawing/2015/9/8/chartex" xmlns:wne="http://schemas.microsoft.com/office/word/2006/wordml" xmlns:w15="http://schemas.microsoft.com/office/word/2012/wordml" xmlns:mc="http://schemas.openxmlformats.org/markup-compatibility/2006" xmlns:v="urn:schemas-microsoft-com:vml" xmlns:wp14="http://schemas.microsoft.com/office/word/2010/wordprocessingDrawing" xmlns:wpg="http://schemas.microsoft.com/office/word/2010/wordprocessingGroup" xmlns:wp="http://schemas.openxmlformats.org/drawingml/2006/wordprocessingDrawing" xmlns:w16se="http://schemas.microsoft.com/office/word/2015/wordml/symex" xmlns:w="http://schemas.openxmlformats.org/wordprocessingml/2006/main" mc:Ignorable="w14 w15 w16se wp14">
  <w:body>
    <w:p>
      <w:pPr>
        <w:pStyle w:val="Normal"/>
        <w:jc w:val="center"/>
        <w:rPr>
          <w:sz w:val="52"/>
          <w:szCs w:val="52"/>
          <w:rFonts w:ascii="Times New Roman" w:hAnsi="Times New Roman" w:eastAsia="方正小标宋_GBK"/>
        </w:rPr>
      </w:pPr>
      <w:r>
        <w:rPr>
          <w:sz w:val="52"/>
          <w:szCs w:val="52"/>
          <w:rFonts w:ascii="Times New Roman" w:hAnsi="Times New Roman" w:eastAsia="方正小标宋_GBK"/>
        </w:rPr>
      </w:r>
    </w:p>
    <w:p>
      <w:pPr>
        <w:pStyle w:val="Normal"/>
        <w:jc w:val="center"/>
        <w:rPr>
          <w:sz w:val="44"/>
          <w:szCs w:val="44"/>
          <w:rFonts w:ascii="方正小标宋简体" w:hAnsi="方正小标宋简体" w:eastAsia="方正小标宋简体" w:hint="eastAsia"/>
        </w:rPr>
      </w:pP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202</w:t>
      </w:r>
      <w:r>
        <w:rPr>
          <w:sz w:val="44"/>
          <w:lang w:val="en-US" w:eastAsia="zh-CN"/>
          <w:szCs w:val="44"/>
          <w:rFonts w:ascii="方正小标宋简体" w:hAnsi="方正小标宋简体" w:eastAsia="方正小标宋简体" w:hint="eastAsia"/>
        </w:rPr>
        <w:t xml:space="preserve">4</w:t>
      </w: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年度岳阳市妇女联合会</w:t>
      </w:r>
      <w:r>
        <w:rPr>
          <w:sz w:val="44"/>
          <w:szCs w:val="44"/>
          <w:rFonts w:ascii="方正小标宋简体" w:hAnsi="方正小标宋简体" w:eastAsia="方正小标宋简体" w:hint="eastAsia"/>
        </w:rPr>
      </w:r>
    </w:p>
    <w:p>
      <w:pPr>
        <w:pStyle w:val="Normal"/>
        <w:jc w:val="center"/>
        <w:rPr>
          <w:sz w:val="44"/>
          <w:szCs w:val="44"/>
          <w:rFonts w:ascii="方正小标宋简体" w:hAnsi="方正小标宋简体" w:eastAsia="方正小标宋简体" w:hint="eastAsia"/>
        </w:rPr>
      </w:pP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整体支出绩效自评报告</w:t>
      </w:r>
      <w:r>
        <w:rPr>
          <w:sz w:val="44"/>
          <w:szCs w:val="44"/>
          <w:rFonts w:ascii="方正小标宋简体" w:hAnsi="方正小标宋简体" w:eastAsia="方正小标宋简体" w:hint="eastAsia"/>
        </w:rPr>
      </w:r>
    </w:p>
    <w:p>
      <w:pPr>
        <w:pStyle w:val="Normal"/>
        <w:jc w:val="center"/>
        <w:rPr>
          <w:b w:val="1"/>
          <w:sz w:val="52"/>
          <w:szCs w:val="52"/>
          <w:rFonts w:ascii="Times New Roman" w:hAnsi="Times New Roman" w:eastAsia="方正小标宋_GBK"/>
        </w:rPr>
      </w:pPr>
      <w:r>
        <w:rPr>
          <w:b w:val="1"/>
          <w:sz w:val="52"/>
          <w:szCs w:val="52"/>
          <w:rFonts w:ascii="Times New Roman" w:hAnsi="Times New Roman" w:eastAsia="方正小标宋_GBK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jc w:val="center"/>
        <w:spacing w:line="600" w:lineRule="exact"/>
        <w:rPr>
          <w:sz w:val="32"/>
          <w:szCs w:val="32"/>
          <w:rFonts w:ascii="Times New Roman" w:hAnsi="Times New Roman" w:eastAsia="仿宋_GB2312"/>
        </w:rPr>
      </w:pPr>
      <w:r>
        <w:rPr>
          <w:sz w:val="32"/>
          <w:szCs w:val="32"/>
          <w:rFonts w:ascii="Times New Roman" w:hAnsi="Times New Roman" w:eastAsia="仿宋_GB2312"/>
        </w:rPr>
        <w:t xml:space="preserve">部门（单位）名称：岳阳市妇联</w:t>
      </w:r>
      <w:r>
        <w:rPr>
          <w:u w:val="single"/>
          <w:sz w:val="32"/>
          <w:szCs w:val="32"/>
          <w:rFonts w:ascii="Times New Roman" w:hAnsi="Times New Roman" w:eastAsia="仿宋_GB2312"/>
        </w:rPr>
      </w:r>
    </w:p>
    <w:p>
      <w:pPr>
        <w:pStyle w:val="Normal"/>
        <w:jc w:val="center"/>
        <w:spacing w:line="600" w:lineRule="exact"/>
        <w:rPr>
          <w:sz w:val="32"/>
          <w:lang w:val="en-US" w:eastAsia="zh-CN"/>
          <w:szCs w:val="32"/>
          <w:rFonts w:ascii="Times New Roman" w:hAnsi="Times New Roman" w:eastAsia="楷体_GB2312" w:hint="eastAsia"/>
        </w:rPr>
      </w:pPr>
      <w:r>
        <w:rPr>
          <w:sz w:val="32"/>
          <w:lang w:val="en-US" w:eastAsia="zh-CN"/>
          <w:szCs w:val="32"/>
          <w:rFonts w:ascii="Times New Roman" w:hAnsi="Times New Roman" w:eastAsia="楷体_GB2312" w:hint="eastAsia"/>
        </w:rPr>
        <w:t xml:space="preserve">2025</w:t>
      </w:r>
      <w:r>
        <w:rPr>
          <w:sz w:val="32"/>
          <w:szCs w:val="32"/>
          <w:rFonts w:ascii="Times New Roman" w:hAnsi="Times New Roman" w:eastAsia="楷体_GB2312"/>
        </w:rPr>
        <w:t xml:space="preserve">年</w:t>
      </w:r>
      <w:r>
        <w:rPr>
          <w:sz w:val="32"/>
          <w:lang w:val="en-US" w:eastAsia="zh-CN"/>
          <w:szCs w:val="32"/>
          <w:rFonts w:ascii="Times New Roman" w:hAnsi="Times New Roman" w:eastAsia="楷体_GB2312" w:hint="eastAsia"/>
        </w:rPr>
        <w:t xml:space="preserve">5</w:t>
      </w:r>
      <w:r>
        <w:rPr>
          <w:sz w:val="32"/>
          <w:szCs w:val="32"/>
          <w:rFonts w:ascii="Times New Roman" w:hAnsi="Times New Roman" w:eastAsia="楷体_GB2312"/>
        </w:rPr>
        <w:t xml:space="preserve">月</w:t>
      </w:r>
      <w:r>
        <w:rPr>
          <w:sz w:val="32"/>
          <w:lang w:val="en-US" w:eastAsia="zh-CN"/>
          <w:szCs w:val="32"/>
          <w:rFonts w:ascii="Times New Roman" w:hAnsi="Times New Roman" w:eastAsia="楷体_GB2312" w:hint="eastAsia"/>
        </w:rPr>
        <w:t xml:space="preserve">15</w:t>
      </w:r>
      <w:r>
        <w:rPr>
          <w:sz w:val="32"/>
          <w:szCs w:val="32"/>
          <w:rFonts w:ascii="Times New Roman" w:hAnsi="Times New Roman" w:eastAsia="楷体_GB2312"/>
        </w:rPr>
        <w:t xml:space="preserve">日</w:t>
      </w:r>
      <w:r>
        <w:rPr>
          <w:sz w:val="32"/>
          <w:szCs w:val="32"/>
          <w:rFonts w:ascii="Times New Roman" w:hAnsi="Times New Roman" w:eastAsia="楷体_GB2312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仿宋_GB2312"/>
        </w:rPr>
      </w:pPr>
      <w:r>
        <w:rPr>
          <w:sz w:val="32"/>
          <w:szCs w:val="32"/>
          <w:rFonts w:ascii="Times New Roman" w:hAnsi="Times New Roman" w:eastAsia="仿宋_GB2312"/>
        </w:rPr>
      </w:r>
    </w:p>
    <w:p>
      <w:pPr>
        <w:pStyle w:val="Normal"/>
        <w:jc w:val="center"/>
        <w:rPr>
          <w:sz w:val="32"/>
          <w:szCs w:val="32"/>
          <w:rFonts w:ascii="Times New Roman" w:hAnsi="Times New Roman" w:eastAsia="仿宋_GB2312"/>
        </w:rPr>
      </w:pPr>
      <w:r>
        <w:br w:type="page"/>
        <w:rPr>
          <w:sz w:val="32"/>
          <w:szCs w:val="32"/>
          <w:rFonts w:ascii="Times New Roman" w:hAnsi="Times New Roman" w:eastAsia="仿宋_GB2312"/>
        </w:rPr>
      </w: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202</w:t>
      </w:r>
      <w:r>
        <w:rPr>
          <w:sz w:val="44"/>
          <w:lang w:val="en-US" w:eastAsia="zh-CN"/>
          <w:szCs w:val="44"/>
          <w:rFonts w:ascii="方正小标宋简体" w:hAnsi="方正小标宋简体" w:eastAsia="方正小标宋简体" w:hint="eastAsia"/>
        </w:rPr>
        <w:t xml:space="preserve">4</w:t>
      </w: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年度岳阳市妇女联合会</w:t>
      </w:r>
      <w:r>
        <w:rPr>
          <w:sz w:val="44"/>
          <w:szCs w:val="44"/>
          <w:rFonts w:ascii="方正小标宋简体" w:hAnsi="方正小标宋简体" w:eastAsia="方正小标宋简体" w:hint="eastAsia"/>
        </w:rPr>
      </w:r>
    </w:p>
    <w:p>
      <w:pPr>
        <w:pStyle w:val="Normal"/>
        <w:jc w:val="center"/>
        <w:rPr>
          <w:sz w:val="44"/>
          <w:szCs w:val="44"/>
          <w:rFonts w:ascii="方正小标宋简体" w:hAnsi="方正小标宋简体" w:eastAsia="方正小标宋简体" w:hint="eastAsia"/>
        </w:rPr>
      </w:pPr>
      <w:r>
        <w:rPr>
          <w:sz w:val="44"/>
          <w:szCs w:val="44"/>
          <w:rFonts w:ascii="方正小标宋简体" w:hAnsi="方正小标宋简体" w:eastAsia="方正小标宋简体" w:hint="eastAsia"/>
        </w:rPr>
        <w:t xml:space="preserve">整体支出绩效自评报告</w:t>
      </w:r>
      <w:r>
        <w:rPr>
          <w:sz w:val="44"/>
          <w:szCs w:val="44"/>
          <w:rFonts w:ascii="方正小标宋简体" w:hAnsi="方正小标宋简体" w:eastAsia="方正小标宋简体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仿宋_GB2312"/>
        </w:rPr>
      </w:pPr>
      <w:r>
        <w:rPr>
          <w:sz w:val="32"/>
          <w:szCs w:val="32"/>
          <w:rFonts w:ascii="Times New Roman" w:hAnsi="Times New Roman" w:eastAsia="仿宋_GB2312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1"/>
        </w:numPr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部门（单位）基本情况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（一）职能职责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1.团结、教育全市各族各界妇女以及各类妇女组织同党中央在思想上、政治上、行动上保持高度一致，引领广大妇女听党话、跟党走。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2.紧密围绕市委、市政府的中心任务开展工作，团结、动员和组织全市妇女投身改革开放和社会主义经济建设、政治建设、文化建设、社会建设和生态文明建设，在新时代中国特色社会主义伟大实践中发挥积极作用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3.代表妇女参与国家和社会事务的民主决策、民主管理、民主监督，关注并加强研究涉及妇女儿童切身利益的热点、难点问题，及时向市委反映社情民意，提出对策建议；参与有关妇女儿童政策的研究与拟订，从源头上强化维护妇女儿童合法权益工作。扩大社会联动维权工作格局，协助有关部门或单位查处侵害妇女儿童权益的行为，为受侵害的妇女儿童提供帮助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4.推动落实男女平等基本国策落实，营造有利于妇女全面发展的社会环境。教育和引导妇女践行社会主义核心价值观，发扬自尊、自信、自立、自强的精神，提高综合素质，实现全面发展。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5.坚持联系和服务妇女群众的工作生命线。关心妇女工作生活，拓宽服务渠道，建设服务阵地，发展公益事业，壮大巾帼志愿者队伍，加强妇女儿童之家建设。加强与女性社会组织和社会各界的联系，推动全社会为妇女儿童和家庭服务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6.指导我市各级妇联依据《中华全国妇女联合会章程》和妇女代表大会的任务开展妇女工作，联系团体会员并给予工作指导。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7.创新家庭文明建设工作，弘扬家庭美德，培养良好家风，促进家庭和谐。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8.承担市妇女儿童工作委员会办公室的工作，推动落实妇女儿童发展规划各项目标任务。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pacing w:after="120" w:afterAutospacing="0" w:before="120" w:beforeAutospacing="0" w:line="560" w:lineRule="exact"/>
        <w:ind w:firstLine="640" w:firstLineChars="200" w:lef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9.完成市委、市政府交办的其他事项。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r>
    </w:p>
    <w:p>
      <w:pPr>
        <w:pStyle w:val="Normal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0"/>
        </w:numPr>
        <w:spacing w:after="120" w:afterAutospacing="0" w:before="120" w:beforeAutospacing="0" w:line="560" w:lineRule="exact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    （二）机构设置 内设部室（5个）：办公室（宣传部）、组织联络部、家庭和儿童工作部、权益部、妇女发展部，市政府妇女儿童工作委员会办公室设在妇联。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二、一般公共预算支出情况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3" w:firstLineChars="200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  <w:t xml:space="preserve">（一）基本支出情况</w:t>
      </w: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基本支出主要是保障机构正常运转、完成日常工作任务而发生的各项支出，包括在职和退休人员工资福利支出、三公经费、水电、办公经费等商品和服务支出。</w:t>
      </w:r>
      <w:r>
        <w:rPr>
          <w:color w:val="000000"/>
          <w:sz w:val="32"/>
          <w:lang w:val="en-US"/>
          <w:szCs w:val="32"/>
          <w:rFonts w:ascii="Times New Roman" w:hAnsi="Times New Roman" w:eastAsia="仿宋_GB2312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1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、基本支出具体使用情况：工资福利支出为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241.21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万；商品和服务支出为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40.02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万；对个人和家庭的补助为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50.82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万；资本性支出为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0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万。</w:t>
      </w:r>
      <w:r>
        <w:rPr>
          <w:color w:val="000000"/>
          <w:sz w:val="32"/>
          <w:lang w:val="en-US"/>
          <w:szCs w:val="32"/>
          <w:rFonts w:ascii="Times New Roman" w:hAnsi="Times New Roman" w:eastAsia="仿宋_GB2312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start"/>
        <w:suppressLineNumbers w:val="off"/>
        <w:ind w:firstLine="640" w:firstLineChars="20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、三公经费具体支出情况：我单位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202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4年三公经费总支出为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4.42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万，其中公务接待费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0.66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万；公务用车购置及运行维护费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3.76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万，因公出国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(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境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)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支出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0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万。</w:t>
      </w: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3" w:firstLineChars="200"/>
        <w:rPr>
          <w:b w:val="1"/>
          <w:sz w:val="32"/>
          <w:szCs w:val="32"/>
          <w:rFonts w:ascii="Times New Roman" w:hAnsi="Times New Roman" w:eastAsia="楷体_GB2312"/>
        </w:rPr>
      </w:pPr>
      <w:r>
        <w:rPr>
          <w:b w:val="1"/>
          <w:sz w:val="32"/>
          <w:szCs w:val="32"/>
          <w:rFonts w:ascii="Times New Roman" w:hAnsi="Times New Roman" w:eastAsia="楷体_GB2312"/>
        </w:rPr>
        <w:t xml:space="preserve">（二）项目支出情况</w:t>
      </w: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1、项目资金收支情况分析</w:t>
      </w:r>
      <w:r>
        <w:rPr>
          <w:color w:val="000000"/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2024年年初市财政共安排专项资金10万，其中：业务工作经费支出10万元，主要用于 妇儿工委专项工作经费</w:t>
      </w: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5万、信访维权专项工作经费5</w:t>
      </w: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万，主要用于工作经费等方面。</w:t>
      </w:r>
      <w:r>
        <w:rPr>
          <w:color w:val="000000"/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2、专项资金实际使用情况分析</w:t>
      </w:r>
      <w:r>
        <w:rPr>
          <w:color w:val="000000"/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2024年共支出专项资金1055.05万，主要是省儿童基金会对困境妇儿等青少年妇女事业专项捐款支出1055.05万。</w:t>
      </w:r>
      <w:r>
        <w:rPr>
          <w:color w:val="000000"/>
          <w:sz w:val="32"/>
          <w:lang w:val="en-US" w:eastAsia="zh-CN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3、专项资金管理情况分析</w:t>
      </w:r>
      <w:r>
        <w:rPr>
          <w:color w:val="000000"/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start"/>
        <w:suppressLineNumbers w:val="off"/>
        <w:ind w:firstLine="640" w:firstLineChars="200"/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仿宋_GB2312" w:hAnsi="仿宋_GB2312" w:eastAsia="仿宋_GB2312" w:hint="eastAsia"/>
        </w:rPr>
        <w:t xml:space="preserve">专项资金实行综合预算，量入为出，专款专用，确保工作顺利开展。制定专项资金管理办法，规范专项资金使用；严格政府采购程序，做到按章办事，规范操作。</w:t>
      </w:r>
      <w:r>
        <w:rPr>
          <w:b w:val="1"/>
          <w:sz w:val="32"/>
          <w:szCs w:val="32"/>
          <w:rFonts w:ascii="Times New Roman" w:hAnsi="Times New Roman" w:eastAsia="楷体_GB2312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2"/>
        </w:numPr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政府性基金预算支出情况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UserStyle_1"/>
        <w:widowControl w:val="1"/>
        <w:keepNext w:val="0"/>
        <w:keepLines w:val="0"/>
        <w:suppressLineNumbers w:val="off"/>
        <w:spacing w:line="560" w:lineRule="exact"/>
        <w:ind w:firstLine="0" w:firstLineChars="0" w:left="560" w:leftChars="200"/>
        <w:rPr>
          <w:color w:val="000000"/>
          <w:sz w:val="32"/>
          <w:lang w:eastAsia="zh-CN"/>
          <w:szCs w:val="32"/>
          <w:rFonts w:ascii="Times New Roman" w:hAnsi="Times New Roman" w:eastAsia="仿宋_GB2312" w:hint="eastAsia"/>
        </w:rPr>
      </w:pPr>
      <w:r>
        <w:rPr>
          <w:color w:val="000000"/>
          <w:sz w:val="32"/>
          <w:lang w:eastAsia="zh-CN"/>
          <w:szCs w:val="32"/>
          <w:rFonts w:ascii="Times New Roman" w:hAnsi="Times New Roman" w:eastAsia="仿宋_GB2312" w:hint="eastAsia"/>
        </w:rPr>
        <w:t xml:space="preserve">本单位无政府性基金预算支出。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2"/>
        </w:numPr>
        <w:spacing w:line="640" w:lineRule="exact"/>
        <w:ind w:firstLine="640" w:firstLineChars="200" w:left="0" w:leftChars="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国有资本经营预算支出情况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0" w:firstLineChars="0" w:left="560" w:leftChars="20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本单位无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/>
        </w:rPr>
        <w:t xml:space="preserve">国有资本经营</w:t>
      </w: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预算支出。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2"/>
        </w:numPr>
        <w:spacing w:line="640" w:lineRule="exact"/>
        <w:ind w:firstLine="640" w:firstLineChars="200" w:left="0" w:leftChars="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社会保险基金预算支出情况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0" w:firstLineChars="0" w:left="560" w:leftChars="20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本单位无社会保险基金预算支出。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六、部门整体支出绩效情况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  <w:t xml:space="preserve">2024年，我会在市委市政府的坚强领导下，以习近平新时代中国特色社会主义思想为指导，紧扣落实省政府真抓实干督查激励措施，践行为民服务宗旨，全面履职尽责，守正创新，真抓实干，较好地完成了各项绩效目标。</w:t>
      </w:r>
      <w:r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  <w:t xml:space="preserve">预算控制率96.04%，财政供养人员控制在预算编制以内，“三公”经费支出总额较上年增加2.66万元，增加150.9%，主要是上年费用未及时支付。预算执行方面：根据“总量控制、计划管理”的要求从严控制行政经费，压缩公务费开支，严格控制“三公”经费，支出总额控制在预算总额以内。预算管理方面：切实有效地执行了各项财务管理制度、车辆、资产内部管理制度，资产配置严格政府采购，按照预算科目规定使用财政资金，保障资金支出的规范化、制度化，项目资金坚持按专项资金管理制度有效执行，确保专款专用。履职效能方面：一是坚持党建引领，建设清廉机关；二是全面真抓实干，纵深推进组织改革；三是贴近服务民生，创新拓展服务；四是坚持问题导向，全面加强自身建设，群众满意度达到95%以上。</w:t>
      </w:r>
      <w:r>
        <w:rPr>
          <w:color w:val="000000"/>
          <w:sz w:val="32"/>
          <w:lang w:val="en-US" w:eastAsia="zh-CN" w:bidi="ar-SA"/>
          <w:szCs w:val="32"/>
          <w:kern w:val="0"/>
          <w:rFonts w:ascii="Times New Roman" w:hAnsi="Times New Roman" w:eastAsia="仿宋_GB2312" w:hint="eastAsia"/>
        </w:rPr>
      </w:r>
    </w:p>
    <w:p>
      <w:pPr>
        <w:pStyle w:val="179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七、存在的问题及原因分析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3" w:firstLineChars="200" w:left="0" w:right="0"/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</w:pPr>
      <w:r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  <w:t xml:space="preserve">（一）履职效能方面：绩效评价人员匮乏，专业能力不足</w:t>
      </w:r>
      <w:r>
        <w:rPr>
          <w:b w:val="1"/>
          <w:sz w:val="32"/>
          <w:lang w:val="en-US"/>
          <w:szCs w:val="32"/>
          <w:bCs w:val="0"/>
          <w:rFonts w:ascii="Times New Roman" w:hAnsi="Times New Roman" w:eastAsia="楷体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640" w:firstLineChars="200" w:left="0" w:right="0"/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</w:pP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目前未设置预算绩效管理部门，无人员配备，主要由财务人员兼职，时间和精力分配不足。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同时，财务人员大多是会计、财务管理、经济学等专业，而绩效评价工作人员不仅需要掌握财经知识，还要熟悉相关政策、了解财政、预算、项目业务，这就要求必须具备管理学、法学、统计学、工程学等方面的知识，并持续更新知识体系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另外，第三方评价机构对行业部门业务不够熟悉，技术支撑力量不够主动到位，需要进行规范。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3" w:firstLineChars="200" w:left="0" w:right="0"/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</w:pPr>
      <w:r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  <w:t xml:space="preserve">（二）预算和绩效管理方面：绩效目标编制不够规范完整</w:t>
      </w:r>
      <w:r>
        <w:rPr>
          <w:b w:val="1"/>
          <w:sz w:val="32"/>
          <w:lang w:val="en-US"/>
          <w:szCs w:val="32"/>
          <w:bCs w:val="0"/>
          <w:rFonts w:ascii="Times New Roman" w:hAnsi="Times New Roman" w:eastAsia="楷体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640" w:firstLineChars="200" w:left="0" w:right="0"/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</w:pP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绩效目标是项目立项、预算执行、绩效评价的依据。现阶段缺乏对资金使用效果、效率、预算执行刚性约束等动态情况具体、有针对性的考量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  <w:t xml:space="preserve">;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部分资金仍未按要求设定绩效目标或设定不完整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  <w:t xml:space="preserve">;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绩效目标的设定较为空洞，指标没有细化量化，可衡量性不强，甚至存在不合理现象：如重投入轻效益、关键指标设定低于规划要求、量化指标与项目内容无关、目标设置不能体现总体目标实现程度或与计划数、投资额不匹配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3" w:firstLineChars="200" w:left="0" w:right="0"/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</w:pPr>
      <w:r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  <w:t xml:space="preserve">（三）资金分配使用和管理方面</w:t>
      </w:r>
      <w:r>
        <w:rPr>
          <w:b w:val="1"/>
          <w:sz w:val="32"/>
          <w:lang w:val="en-US"/>
          <w:szCs w:val="32"/>
          <w:bCs w:val="0"/>
          <w:rFonts w:ascii="Times New Roman" w:hAnsi="Times New Roman" w:eastAsia="楷体_GB2312"/>
        </w:rPr>
      </w:r>
    </w:p>
    <w:p>
      <w:pPr>
        <w:pStyle w:val="Html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suppressLineNumbers w:val="off"/>
        <w:shd w:val="clear" w:color="auto" w:fill="FFFFFF"/>
        <w:spacing w:after="0" w:afterAutospacing="0" w:before="0" w:beforeAutospacing="0" w:line="480" w:lineRule="atLeast"/>
        <w:ind w:firstLine="640" w:firstLineChars="200" w:left="0" w:leftChars="0" w:right="0"/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</w:pP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资金分配与项目预算不匹配，使用过程中与压缩财政一般性支出要求不相适。资金分配由财政主导，行业部门需根据政府财力获取分配资金，目前各级各部门存在经费保障不足的困境，政府出台了相关措施压缩经费支出，造成与使用过程中不相适应的局面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3" w:firstLineChars="200" w:left="0" w:right="0"/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</w:pPr>
      <w:r>
        <w:rPr>
          <w:b w:val="1"/>
          <w:sz w:val="32"/>
          <w:lang w:val="en-US" w:eastAsia="zh-CN" w:bidi="ar"/>
          <w:szCs w:val="32"/>
          <w:kern w:val="0"/>
          <w:bCs w:val="0"/>
          <w:rFonts w:ascii="Times New Roman" w:hAnsi="Times New Roman" w:eastAsia="楷体_GB2312" w:hint="eastAsia"/>
        </w:rPr>
        <w:t xml:space="preserve">（四）资产和财务管理与政府采购方面</w:t>
      </w:r>
      <w:r>
        <w:rPr>
          <w:b w:val="1"/>
          <w:sz w:val="32"/>
          <w:lang w:val="en-US"/>
          <w:szCs w:val="32"/>
          <w:bCs w:val="0"/>
          <w:rFonts w:ascii="Times New Roman" w:hAnsi="Times New Roman" w:eastAsia="楷体_GB2312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start"/>
        <w:suppressLineNumbers w:val="off"/>
        <w:ind w:firstLine="640" w:firstLineChars="20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资产采购不够科学。在实际预算执行中，全年实际执行与年初编制预算会存在一定偏差。部分资产管理存在报废年限长</w:t>
      </w:r>
      <w:r>
        <w:rPr>
          <w:sz w:val="32"/>
          <w:szCs w:val="32"/>
          <w:rFonts w:ascii="Times New Roman" w:hAnsi="Times New Roman" w:eastAsia="仿宋_GB2312"/>
        </w:rPr>
        <w:t xml:space="preserve">。</w:t>
      </w:r>
      <w:r>
        <w:rPr>
          <w:sz w:val="32"/>
          <w:szCs w:val="32"/>
          <w:rFonts w:ascii="Times New Roman" w:hAnsi="Times New Roman" w:eastAsia="仿宋_GB2312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numPr>
          <w:ilvl w:val="0"/>
          <w:numId w:val="3"/>
        </w:numPr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下一步改进措施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420" w:left="0" w:right="0"/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</w:pPr>
      <w:r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  <w:t xml:space="preserve">（一）加快基层队伍建设，提高绩效意识和管理人员专业水平。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增设专门的机构来对预算绩效做管理，并配置相应的人员编制，引入第三方机构，并做好专家和第三方机构的交流和监管。强化专业培训，工作调研，学习交流等措施，培养“一专多能”的复合型人才，重点让主要领导和分管负责人参与到培训中来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420" w:left="0" w:right="0"/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</w:pPr>
      <w:r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  <w:t xml:space="preserve">（二）强化绩效目标管理，践行相关程序。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绩效目标要随文下达，有项目就有绩效目标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  <w:t xml:space="preserve">;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在事前绩效评估和项目评审的基础上，按照具体可衡量、关联可细化、现实可达到、轻重相匹配的原则系统分析，科学设立绩效目标，反映资金活动的范围、方向与效果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  <w:t xml:space="preserve">;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特别要设计一些反映项目内容与成果的指向性指标，以直观判断项目实施效果，避免项目单位利用已有成果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420" w:left="0" w:right="0"/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</w:pPr>
      <w:r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  <w:t xml:space="preserve">（三）科学分配预算资金，切实有效保障资金供给。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需财政部门加强开源节流，充分保障单位人员经费和公用经费开支，项目设定后严格按年初计划予以保障，以便工作能顺利开展。</w:t>
      </w:r>
      <w:r>
        <w:rPr>
          <w:color w:val="000000"/>
          <w:sz w:val="32"/>
          <w:lang w:val="en-US"/>
          <w:szCs w:val="32"/>
          <w:shd w:val="clear" w:color="auto" w:fill="FFFFFF"/>
          <w:rFonts w:ascii="Times New Roman" w:hAnsi="Times New Roman" w:eastAsia="仿宋_GB2312"/>
        </w:rPr>
      </w:r>
    </w:p>
    <w:p>
      <w:pPr>
        <w:pStyle w:val="HtmlNormal"/>
        <w:widowControl w:val="1"/>
        <w:keepNext w:val="0"/>
        <w:keepLines w:val="0"/>
        <w:suppressLineNumbers w:val="off"/>
        <w:shd w:val="clear" w:color="auto" w:fill="FFFFFF"/>
        <w:spacing w:after="0" w:afterAutospacing="0" w:before="0" w:beforeAutospacing="0" w:line="480" w:lineRule="atLeast"/>
        <w:ind w:firstLine="420" w:left="0" w:right="0"/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</w:pPr>
      <w:r>
        <w:rPr>
          <w:b w:val="1"/>
          <w:color w:val="000000"/>
          <w:sz w:val="32"/>
          <w:lang w:eastAsia="zh-CN"/>
          <w:szCs w:val="32"/>
          <w:bCs w:val="0"/>
          <w:shd w:val="clear" w:color="auto" w:fill="FFFFFF"/>
          <w:rFonts w:ascii="Times New Roman" w:hAnsi="Times New Roman" w:eastAsia="楷体_GB2312" w:hint="eastAsia"/>
        </w:rPr>
        <w:t xml:space="preserve">（四）全面编制预算，充分运用信息化手段不断完善资产管理水平。</w:t>
      </w:r>
      <w:r>
        <w:rPr>
          <w:color w:val="000000"/>
          <w:sz w:val="32"/>
          <w:lang w:eastAsia="zh-CN"/>
          <w:szCs w:val="32"/>
          <w:shd w:val="clear" w:color="auto" w:fill="FFFFFF"/>
          <w:rFonts w:ascii="Times New Roman" w:hAnsi="Times New Roman" w:eastAsia="仿宋_GB2312" w:hint="eastAsia"/>
        </w:rPr>
        <w:t xml:space="preserve">严格加强政府采购预算管理工作，政府采购预算编制是否科学、规范，采购项目是否完善、细致直接关系到整个政府采购活动的质量。优化政府采购预算的编制，将预计的省市、其他资金等全口径进行预算，细化采购项目预算的编制工作，制定切实可行的采购计划，增强采购的计划性，减少随意性。</w:t>
      </w:r>
      <w:r>
        <w:rPr>
          <w:sz w:val="32"/>
          <w:lang w:val="en-US" w:eastAsia="zh-CN"/>
          <w:szCs w:val="32"/>
          <w:rFonts w:ascii="Times New Roman" w:hAnsi="Times New Roman" w:eastAsia="黑体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黑体"/>
        </w:rPr>
      </w:pPr>
      <w:r>
        <w:rPr>
          <w:sz w:val="32"/>
          <w:szCs w:val="32"/>
          <w:rFonts w:ascii="Times New Roman" w:hAnsi="Times New Roman" w:eastAsia="黑体"/>
        </w:rPr>
        <w:t xml:space="preserve">九、部门整体支出绩效自评结果拟应用和公开情况</w:t>
      </w:r>
      <w:r>
        <w:rPr>
          <w:sz w:val="32"/>
          <w:szCs w:val="32"/>
          <w:rFonts w:ascii="Times New Roman" w:hAnsi="Times New Roman" w:eastAsia="黑体"/>
        </w:rPr>
      </w:r>
    </w:p>
    <w:p>
      <w:pPr>
        <w:pStyle w:val="Normal"/>
        <w:widowControl w:val="1"/>
        <w:keepNext w:val="0"/>
        <w:keepLines w:val="0"/>
        <w:jc w:val="both"/>
        <w:suppressLineNumbers w:val="off"/>
        <w:spacing w:after="0" w:afterAutospacing="0" w:before="0" w:beforeAutospacing="0" w:line="560" w:lineRule="exact"/>
        <w:ind w:firstLine="640" w:firstLineChars="200" w:left="0" w:right="0"/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</w:pPr>
      <w:r>
        <w:rPr>
          <w:color w:val="000000"/>
          <w:sz w:val="32"/>
          <w:lang w:val="en-US" w:eastAsia="zh-CN" w:bidi="ar"/>
          <w:szCs w:val="32"/>
          <w:kern w:val="0"/>
          <w:rFonts w:ascii="Times New Roman" w:hAnsi="Times New Roman" w:eastAsia="仿宋_GB2312" w:hint="eastAsia"/>
        </w:rPr>
        <w:t xml:space="preserve">按要求予以公开。</w:t>
      </w:r>
      <w:r>
        <w:rPr>
          <w:sz w:val="32"/>
          <w:lang w:val="en-US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Times New Roman" w:hAnsi="Times New Roman" w:eastAsia="仿宋_GB2312"/>
        </w:rPr>
      </w:pPr>
      <w:r>
        <w:rPr>
          <w:sz w:val="32"/>
          <w:szCs w:val="32"/>
          <w:rFonts w:ascii="Times New Roman" w:hAnsi="Times New Roman" w:eastAsia="仿宋_GB2312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仿宋_GB2312" w:hAnsi="仿宋_GB2312" w:eastAsia="仿宋_GB2312" w:hint="eastAsia"/>
        </w:rPr>
      </w:pPr>
      <w:r>
        <w:rPr>
          <w:sz w:val="32"/>
          <w:szCs w:val="32"/>
          <w:rFonts w:ascii="仿宋_GB2312" w:hAnsi="仿宋_GB2312" w:eastAsia="仿宋_GB2312" w:hint="eastAsia"/>
        </w:rPr>
        <w:t xml:space="preserve">报告需要以下附件：</w:t>
      </w:r>
      <w:r>
        <w:rPr>
          <w:sz w:val="32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仿宋_GB2312" w:hAnsi="仿宋_GB2312" w:eastAsia="仿宋_GB2312" w:hint="eastAsia"/>
        </w:rPr>
      </w:pPr>
      <w:r>
        <w:rPr>
          <w:sz w:val="32"/>
          <w:szCs w:val="32"/>
          <w:rFonts w:ascii="仿宋_GB2312" w:hAnsi="仿宋_GB2312" w:eastAsia="仿宋_GB2312" w:hint="eastAsia"/>
        </w:rPr>
        <w:t xml:space="preserve">1</w:t>
      </w:r>
      <w:r>
        <w:rPr>
          <w:sz w:val="32"/>
          <w:lang w:val="en-US" w:eastAsia="zh-CN"/>
          <w:szCs w:val="32"/>
          <w:rFonts w:ascii="仿宋_GB2312" w:hAnsi="仿宋_GB2312" w:eastAsia="仿宋_GB2312" w:hint="eastAsia"/>
        </w:rPr>
        <w:t xml:space="preserve">.</w:t>
      </w:r>
      <w:r>
        <w:rPr>
          <w:sz w:val="32"/>
          <w:lang w:val="en-US" w:eastAsia="zh-CN" w:bidi="ar"/>
          <w:szCs w:val="32"/>
          <w:rFonts w:ascii="仿宋_GB2312" w:hAnsi="仿宋_GB2312" w:eastAsia="仿宋_GB2312" w:hint="eastAsia"/>
        </w:rPr>
        <w:t xml:space="preserve">2024年度部门整体</w:t>
      </w:r>
      <w:r>
        <w:rPr>
          <w:sz w:val="32"/>
          <w:szCs w:val="32"/>
          <w:rFonts w:ascii="仿宋_GB2312" w:hAnsi="仿宋_GB2312" w:eastAsia="仿宋_GB2312" w:hint="eastAsia"/>
        </w:rPr>
        <w:t xml:space="preserve">支出绩效评价基础数据表</w:t>
      </w:r>
      <w:r>
        <w:rPr>
          <w:sz w:val="32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仿宋_GB2312" w:hAnsi="仿宋_GB2312" w:eastAsia="仿宋_GB2312" w:hint="eastAsia"/>
        </w:rPr>
      </w:pPr>
      <w:r>
        <w:rPr>
          <w:sz w:val="32"/>
          <w:szCs w:val="32"/>
          <w:rFonts w:ascii="仿宋_GB2312" w:hAnsi="仿宋_GB2312" w:eastAsia="仿宋_GB2312" w:hint="eastAsia"/>
        </w:rPr>
        <w:t xml:space="preserve">2</w:t>
      </w:r>
      <w:r>
        <w:rPr>
          <w:sz w:val="32"/>
          <w:lang w:val="en-US" w:eastAsia="zh-CN"/>
          <w:szCs w:val="32"/>
          <w:rFonts w:ascii="仿宋_GB2312" w:hAnsi="仿宋_GB2312" w:eastAsia="仿宋_GB2312" w:hint="eastAsia"/>
        </w:rPr>
        <w:t xml:space="preserve">.</w:t>
      </w:r>
      <w:r>
        <w:rPr>
          <w:sz w:val="32"/>
          <w:lang w:val="en-US" w:eastAsia="zh-CN" w:bidi="ar"/>
          <w:szCs w:val="32"/>
          <w:rFonts w:ascii="仿宋_GB2312" w:hAnsi="仿宋_GB2312" w:eastAsia="仿宋_GB2312" w:hint="eastAsia"/>
        </w:rPr>
        <w:t xml:space="preserve">2024年度部门</w:t>
      </w:r>
      <w:r>
        <w:rPr>
          <w:sz w:val="32"/>
          <w:szCs w:val="32"/>
          <w:rFonts w:ascii="仿宋_GB2312" w:hAnsi="仿宋_GB2312" w:eastAsia="仿宋_GB2312" w:hint="eastAsia"/>
        </w:rPr>
        <w:t xml:space="preserve">整体支出绩效自评表</w:t>
      </w:r>
      <w:r>
        <w:rPr>
          <w:sz w:val="32"/>
          <w:szCs w:val="32"/>
          <w:rFonts w:ascii="仿宋_GB2312" w:hAnsi="仿宋_GB2312" w:eastAsia="仿宋_GB2312" w:hint="eastAsia"/>
        </w:rPr>
      </w:r>
    </w:p>
    <w:p>
      <w:pPr>
        <w:pStyle w:val="Normal"/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snapToGrid w:val="1"/>
        <w:jc w:val="both"/>
        <w:spacing w:line="640" w:lineRule="exact"/>
        <w:ind w:firstLine="640" w:firstLineChars="200"/>
        <w:rPr>
          <w:sz w:val="32"/>
          <w:szCs w:val="32"/>
          <w:rFonts w:ascii="仿宋_GB2312" w:hAnsi="仿宋_GB2312" w:eastAsia="仿宋_GB2312" w:hint="eastAsia"/>
        </w:rPr>
      </w:pPr>
      <w:r>
        <w:rPr>
          <w:sz w:val="32"/>
          <w:szCs w:val="32"/>
          <w:rFonts w:ascii="仿宋_GB2312" w:hAnsi="仿宋_GB2312" w:eastAsia="仿宋_GB2312" w:hint="eastAsia"/>
        </w:rPr>
        <w:t xml:space="preserve">3</w:t>
      </w:r>
      <w:r>
        <w:rPr>
          <w:sz w:val="32"/>
          <w:lang w:val="en-US" w:eastAsia="zh-CN"/>
          <w:szCs w:val="32"/>
          <w:rFonts w:ascii="仿宋_GB2312" w:hAnsi="仿宋_GB2312" w:eastAsia="仿宋_GB2312" w:hint="eastAsia"/>
        </w:rPr>
        <w:t xml:space="preserve">.</w:t>
      </w:r>
      <w:r>
        <w:rPr>
          <w:sz w:val="32"/>
          <w:lang w:val="en-US" w:eastAsia="zh-CN" w:bidi="ar"/>
          <w:szCs w:val="32"/>
          <w:rFonts w:ascii="仿宋_GB2312" w:hAnsi="仿宋_GB2312" w:eastAsia="仿宋_GB2312" w:hint="eastAsia"/>
        </w:rPr>
        <w:t xml:space="preserve">2024年度</w:t>
      </w:r>
      <w:r>
        <w:rPr>
          <w:sz w:val="32"/>
          <w:szCs w:val="32"/>
          <w:rFonts w:ascii="仿宋_GB2312" w:hAnsi="仿宋_GB2312" w:eastAsia="仿宋_GB2312" w:hint="eastAsia"/>
        </w:rPr>
        <w:t xml:space="preserve">项目支出绩效自评表</w:t>
      </w:r>
      <w:r>
        <w:rPr>
          <w:sz w:val="32"/>
          <w:szCs w:val="32"/>
          <w:rFonts w:ascii="仿宋_GB2312" w:hAnsi="仿宋_GB2312" w:eastAsia="仿宋_GB2312" w:hint="eastAsia"/>
        </w:rPr>
      </w:r>
    </w:p>
    <w:p>
      <w:pPr>
        <w:pStyle w:val="Normal"/>
        <w:sectPr>
          <w:type w:val="continuous"/>
          <w:docGrid w:type="lines" w:linePitch="312" w:charSpace="0"/>
          <w:pgSz w:w="11906" w:h="16838"/>
          <w:pgMar w:top="1440" w:right="1800" w:bottom="1440" w:left="1800" w:header="851" w:footer="992" w:gutter="0"/>
        </w:sectPr>
      </w:pPr>
    </w:p>
    <w:p/>
    <w:sectPr>
      <w:type w:val="continuous"/>
      <w:docGrid w:type="lines" w:linePitch="312" w:charSpace="0"/>
      <w:pgSz w:w="11906" w:h="16838"/>
      <w:pgMar w:top="1440" w:right="1800" w:bottom="1440" w:left="1800" w:header="851" w:footer="992" w:gutter="0"/>
    </w:sectPr>
  </w:body>
</w:document>
</file>

<file path=tbak/modified.xml>Sun Sep 28 10:25:09 2025
save:Sun Sep 28 10:31:05 2025

</file>