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岳阳市妇女联合会</w:t>
      </w:r>
      <w:r>
        <w:rPr>
          <w:rFonts w:hint="eastAsia" w:ascii="方正小标宋_GBK" w:hAnsi="方正小标宋_GBK" w:eastAsia="方正小标宋_GBK" w:cs="方正小标宋_GBK"/>
          <w:sz w:val="84"/>
          <w:szCs w:val="84"/>
        </w:rPr>
        <w:t>部门决算</w:t>
      </w:r>
    </w:p>
    <w:p>
      <w:pPr>
        <w:pStyle w:val="12"/>
        <w:jc w:val="center"/>
        <w:rPr>
          <w:rFonts w:hint="eastAsia" w:ascii="方正小标宋_GBK" w:hAnsi="方正小标宋_GBK" w:eastAsia="方正小标宋_GBK" w:cs="方正小标宋_GBK"/>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both"/>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岳阳市妇女联合会</w:t>
      </w:r>
      <w:r>
        <w:rPr>
          <w:rFonts w:hint="eastAsia" w:ascii="黑体" w:hAnsi="黑体" w:eastAsia="黑体" w:cs="黑体"/>
          <w:b w:val="0"/>
          <w:bCs/>
          <w:sz w:val="28"/>
          <w:szCs w:val="28"/>
        </w:rPr>
        <w:t>概况</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2"/>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2"/>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岳阳市妇女联合会</w:t>
      </w:r>
      <w:r>
        <w:rPr>
          <w:rFonts w:hint="eastAsia" w:ascii="方正小标宋_GBK" w:hAnsi="方正小标宋_GBK" w:eastAsia="方正小标宋_GBK" w:cs="方正小标宋_GBK"/>
          <w:sz w:val="84"/>
          <w:szCs w:val="84"/>
        </w:rPr>
        <w:t>概况</w:t>
      </w:r>
    </w:p>
    <w:p>
      <w:pPr>
        <w:pStyle w:val="2"/>
        <w:rPr>
          <w:rFonts w:hint="eastAsia" w:ascii="方正小标宋_GBK" w:hAnsi="方正小标宋_GBK" w:eastAsia="方正小标宋_GBK" w:cs="方正小标宋_GBK"/>
          <w:sz w:val="84"/>
          <w:szCs w:val="84"/>
        </w:rPr>
      </w:pPr>
    </w:p>
    <w:p>
      <w:pPr>
        <w:pStyle w:val="3"/>
        <w:rPr>
          <w:rFonts w:hint="eastAsia" w:ascii="方正小标宋_GBK" w:hAnsi="方正小标宋_GBK" w:eastAsia="方正小标宋_GBK" w:cs="方正小标宋_GBK"/>
          <w:sz w:val="84"/>
          <w:szCs w:val="84"/>
        </w:rPr>
      </w:pPr>
    </w:p>
    <w:p>
      <w:pPr>
        <w:rPr>
          <w:rFonts w:hint="eastAsia" w:ascii="方正小标宋_GBK" w:hAnsi="方正小标宋_GBK" w:eastAsia="方正小标宋_GBK" w:cs="方正小标宋_GBK"/>
          <w:sz w:val="84"/>
          <w:szCs w:val="84"/>
        </w:rPr>
      </w:pPr>
    </w:p>
    <w:p>
      <w:pPr>
        <w:pStyle w:val="2"/>
        <w:rPr>
          <w:rFonts w:hint="eastAsia" w:ascii="方正小标宋_GBK" w:hAnsi="方正小标宋_GBK" w:eastAsia="方正小标宋_GBK" w:cs="方正小标宋_GBK"/>
          <w:sz w:val="84"/>
          <w:szCs w:val="84"/>
        </w:rPr>
      </w:pPr>
    </w:p>
    <w:p>
      <w:pPr>
        <w:pStyle w:val="3"/>
        <w:rPr>
          <w:rFonts w:hint="eastAsia" w:ascii="方正小标宋_GBK" w:hAnsi="方正小标宋_GBK" w:eastAsia="方正小标宋_GBK" w:cs="方正小标宋_GBK"/>
          <w:sz w:val="84"/>
          <w:szCs w:val="84"/>
        </w:rPr>
      </w:pPr>
    </w:p>
    <w:p>
      <w:pPr>
        <w:pStyle w:val="13"/>
        <w:numPr>
          <w:ilvl w:val="0"/>
          <w:numId w:val="0"/>
        </w:numPr>
        <w:ind w:leftChars="0"/>
        <w:jc w:val="left"/>
        <w:rPr>
          <w:rFonts w:hint="eastAsia" w:ascii="仿宋" w:hAnsi="仿宋" w:eastAsia="仿宋"/>
          <w:color w:val="000000"/>
          <w:kern w:val="0"/>
          <w:sz w:val="32"/>
          <w:szCs w:val="24"/>
          <w:highlight w:val="white"/>
          <w:lang w:val="en-US"/>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pPr>
        <w:pStyle w:val="13"/>
        <w:numPr>
          <w:ilvl w:val="0"/>
          <w:numId w:val="0"/>
        </w:numPr>
        <w:ind w:leftChars="0" w:firstLine="640"/>
        <w:jc w:val="left"/>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（一）团结、教育全市各族各界妇女以及各类妇女组织同党中央在思想上、政治上、行动上保持高度一致，引领广大妇女听党话、跟党走。</w:t>
      </w:r>
    </w:p>
    <w:p>
      <w:pPr>
        <w:pStyle w:val="13"/>
        <w:numPr>
          <w:ilvl w:val="0"/>
          <w:numId w:val="0"/>
        </w:numPr>
        <w:ind w:leftChars="0" w:firstLine="640"/>
        <w:jc w:val="left"/>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二）紧密围绕市委、市政府的中心任务开展工作，团结、动员和组织全市妇女投身改革开放和社会主义经济建设、政治建设、文化建设、社会建设和生态文明建设，在新时代中国特色社会主义伟大实践中发挥积极作用。</w:t>
      </w:r>
    </w:p>
    <w:p>
      <w:pPr>
        <w:pStyle w:val="13"/>
        <w:numPr>
          <w:ilvl w:val="0"/>
          <w:numId w:val="0"/>
        </w:numPr>
        <w:ind w:leftChars="0" w:firstLine="640"/>
        <w:jc w:val="left"/>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三）代表妇女参与国家和社会事务的民主决策、民主管理、民主监督，关注并加强研究涉及妇女儿童切身利益的热点、难点问题，及时向市委反映社情民意，提出对策建议；参与有关妇女儿童政策的研究与拟订，从源头上强化维护妇女儿童合法权益工作。扩大社会联动维权工作格局，协助有关部门或单位查处侵害妇女儿童权益的行为，为受侵害的妇女儿童提供帮助。</w:t>
      </w:r>
    </w:p>
    <w:p>
      <w:pPr>
        <w:pStyle w:val="13"/>
        <w:numPr>
          <w:ilvl w:val="0"/>
          <w:numId w:val="0"/>
        </w:numPr>
        <w:ind w:leftChars="0" w:firstLine="640"/>
        <w:jc w:val="left"/>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（四）推动落实男女平等基本国策落实，营造有利于妇女全面发展的社会环境。教育和引导妇女践行社会主义核心价值观，发扬自尊、自信、自立、自强的精神，提高综合素质，实现全面发展。</w:t>
      </w:r>
    </w:p>
    <w:p>
      <w:pPr>
        <w:pStyle w:val="13"/>
        <w:numPr>
          <w:ilvl w:val="0"/>
          <w:numId w:val="0"/>
        </w:numPr>
        <w:ind w:leftChars="0" w:firstLine="640"/>
        <w:jc w:val="left"/>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五）坚持联系和服务妇女群众的工作生命线。关心妇女工作生活，拓宽服务渠道，建设服务阵地，发展公益事业，壮大巾帼志愿者队伍，加强妇女儿童之家建设。加强与女性社会组织和社会各界的联系，推动全社会为妇女儿童和家庭服务。</w:t>
      </w:r>
    </w:p>
    <w:p>
      <w:pPr>
        <w:pStyle w:val="13"/>
        <w:numPr>
          <w:ilvl w:val="0"/>
          <w:numId w:val="0"/>
        </w:numPr>
        <w:ind w:leftChars="0" w:firstLine="640"/>
        <w:jc w:val="left"/>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（六）指导我市各级妇联依据《中华全国妇女联合会章程》和妇女代表大会的任务开展妇女工作，联系团体会员并给予工作指导。</w:t>
      </w:r>
    </w:p>
    <w:p>
      <w:pPr>
        <w:pStyle w:val="13"/>
        <w:numPr>
          <w:ilvl w:val="0"/>
          <w:numId w:val="0"/>
        </w:numPr>
        <w:ind w:leftChars="0" w:firstLine="640"/>
        <w:jc w:val="left"/>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（七）创新家庭文明建设工作，弘扬家庭美德，培养良好家风，促进家庭和谐。</w:t>
      </w:r>
    </w:p>
    <w:p>
      <w:pPr>
        <w:keepNext/>
        <w:keepLines/>
        <w:ind w:firstLine="640"/>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（八）承担市妇女儿童工作委员会办公室的工作，推动落实妇女儿童发展规划各项目标任务。</w:t>
      </w:r>
    </w:p>
    <w:p>
      <w:pPr>
        <w:keepNext/>
        <w:keepLines/>
        <w:ind w:firstLine="640"/>
        <w:rPr>
          <w:rFonts w:hint="eastAsia" w:ascii="Times New Roman" w:hAnsi="Times New Roman" w:eastAsia="仿宋_GB2312" w:cs="仿宋_GB2312"/>
          <w:bCs/>
          <w:kern w:val="0"/>
          <w:sz w:val="32"/>
          <w:szCs w:val="32"/>
          <w:lang w:val="en-US" w:eastAsia="zh-CN" w:bidi="ar-SA"/>
        </w:rPr>
      </w:pPr>
      <w:r>
        <w:rPr>
          <w:rFonts w:hint="eastAsia" w:ascii="Times New Roman" w:hAnsi="Times New Roman" w:eastAsia="仿宋_GB2312" w:cs="仿宋_GB2312"/>
          <w:bCs/>
          <w:kern w:val="0"/>
          <w:sz w:val="32"/>
          <w:szCs w:val="32"/>
          <w:lang w:val="en-US" w:eastAsia="zh-CN" w:bidi="ar-SA"/>
        </w:rPr>
        <w:t>（九）完成市委、市政府交办的其他事项。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keepNext/>
        <w:keepLines/>
        <w:ind w:firstLine="640"/>
        <w:rPr>
          <w:rFonts w:hint="eastAsia"/>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zh-CN" w:eastAsia="zh-CN" w:bidi="ar-SA"/>
        </w:rPr>
        <w:t>岳阳市妇女联合会单位内设机构包括：办公室(宣传部)、组织联络部、家庭和儿童工作部、权益部、妇女发展部，市政府妇女儿童工作委员会办公室设妇联。</w:t>
      </w:r>
    </w:p>
    <w:p>
      <w:pPr>
        <w:keepNext/>
        <w:keepLines/>
        <w:ind w:firstLine="640"/>
        <w:rPr>
          <w:rFonts w:hint="eastAsia" w:ascii="Times New Roman" w:hAnsi="Times New Roman" w:eastAsia="仿宋_GB2312" w:cs="仿宋_GB2312"/>
          <w:bCs/>
          <w:kern w:val="0"/>
          <w:sz w:val="32"/>
          <w:szCs w:val="32"/>
          <w:lang w:val="en-US"/>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zh-CN"/>
        </w:rPr>
        <w:t>岳阳市妇女联合会单位2023年部门决算汇总公开单位构成包括：</w:t>
      </w:r>
      <w:r>
        <w:rPr>
          <w:rFonts w:hint="eastAsia" w:ascii="Times New Roman" w:hAnsi="Times New Roman" w:eastAsia="仿宋_GB2312" w:cs="仿宋_GB2312"/>
          <w:bCs/>
          <w:kern w:val="0"/>
          <w:sz w:val="32"/>
          <w:szCs w:val="32"/>
          <w:lang w:val="en-US"/>
        </w:rPr>
        <w:t>本单位无独立核算的下属单位，2023年度部门决算汇总公开单位</w:t>
      </w:r>
      <w:r>
        <w:rPr>
          <w:rFonts w:hint="eastAsia" w:ascii="Times New Roman" w:hAnsi="Times New Roman" w:eastAsia="仿宋_GB2312" w:cs="仿宋_GB2312"/>
          <w:bCs/>
          <w:kern w:val="0"/>
          <w:sz w:val="32"/>
          <w:szCs w:val="32"/>
          <w:lang w:val="en-US" w:eastAsia="zh-CN"/>
        </w:rPr>
        <w:t>仅</w:t>
      </w:r>
      <w:r>
        <w:rPr>
          <w:rFonts w:hint="eastAsia" w:ascii="Times New Roman" w:hAnsi="Times New Roman" w:eastAsia="仿宋_GB2312" w:cs="仿宋_GB2312"/>
          <w:bCs/>
          <w:kern w:val="0"/>
          <w:sz w:val="32"/>
          <w:szCs w:val="32"/>
          <w:lang w:val="en-US"/>
        </w:rPr>
        <w:t>包括</w:t>
      </w:r>
      <w:r>
        <w:rPr>
          <w:rFonts w:hint="eastAsia" w:ascii="Times New Roman" w:hAnsi="Times New Roman" w:eastAsia="仿宋_GB2312" w:cs="仿宋_GB2312"/>
          <w:bCs/>
          <w:kern w:val="0"/>
          <w:sz w:val="32"/>
          <w:szCs w:val="32"/>
          <w:lang w:val="zh-CN"/>
        </w:rPr>
        <w:t>岳阳市妇女联合会</w:t>
      </w:r>
      <w:r>
        <w:rPr>
          <w:rFonts w:hint="eastAsia" w:ascii="Times New Roman" w:hAnsi="Times New Roman" w:eastAsia="仿宋_GB2312" w:cs="仿宋_GB2312"/>
          <w:bCs/>
          <w:kern w:val="0"/>
          <w:sz w:val="32"/>
          <w:szCs w:val="32"/>
          <w:lang w:val="en-US"/>
        </w:rPr>
        <w:t>单位本级。</w:t>
      </w:r>
    </w:p>
    <w:p>
      <w:pPr>
        <w:jc w:val="left"/>
        <w:rPr>
          <w:rFonts w:ascii="仿宋_GB2312" w:eastAsia="仿宋_GB2312" w:hAnsiTheme="minorEastAsia"/>
          <w:sz w:val="28"/>
          <w:szCs w:val="32"/>
        </w:rPr>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2"/>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widowControl/>
        <w:ind w:firstLine="640" w:firstLineChars="200"/>
        <w:jc w:val="left"/>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2023年度收、支总计均为847.05万元，与2022年相比，收、支总计各增加82.68万元，增长10.82%。主要原因</w:t>
      </w:r>
      <w:r>
        <w:rPr>
          <w:rFonts w:hint="eastAsia" w:ascii="仿宋_GB2312" w:hAnsi="仿宋_GB2312" w:eastAsia="仿宋_GB2312" w:cs="仿宋_GB2312"/>
          <w:sz w:val="32"/>
          <w:szCs w:val="32"/>
          <w:lang w:val="en-US" w:eastAsia="zh-CN"/>
        </w:rPr>
        <w:t>是增加了妇女事业发展专项经费开支</w:t>
      </w:r>
      <w:r>
        <w:rPr>
          <w:rFonts w:hint="eastAsia" w:ascii="仿宋_GB2312" w:hAnsi="仿宋_GB2312" w:eastAsia="仿宋_GB2312" w:cs="仿宋_GB2312"/>
          <w:sz w:val="32"/>
          <w:szCs w:val="32"/>
          <w:lang w:val="zh-CN"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2023年度收入合计806.8万元，其中：财政拨款收入449.42万元，占55.7%；上级补助收入0万元，占0%；事业收入0万元，占0%；经营收入0万元，占0%；附属单位上缴收入0万元，占0%；其他收入357.38万元，占44.3%。</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2023年度支出合计677.54万元，其中：基本支出339.19万元，占50.06%；项目支出338.35万元，占49.94%；上缴上级支出0万元，占0%；经营支出0万元，占0%；对附属单位补助支出0万元，占0%。</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keepNext/>
        <w:keepLines/>
        <w:ind w:firstLine="640"/>
        <w:rPr>
          <w:rFonts w:hint="eastAsia" w:ascii="楷体" w:hAnsi="楷体" w:eastAsia="楷体" w:cs="楷体"/>
          <w:i/>
          <w:iCs/>
          <w:color w:val="000000"/>
          <w:kern w:val="0"/>
          <w:sz w:val="32"/>
          <w:szCs w:val="32"/>
          <w:lang w:val="en-US" w:eastAsia="zh-CN" w:bidi="ar-SA"/>
        </w:rPr>
      </w:pPr>
      <w:r>
        <w:rPr>
          <w:rFonts w:hint="eastAsia" w:ascii="仿宋_GB2312" w:hAnsi="仿宋_GB2312" w:eastAsia="仿宋_GB2312" w:cs="仿宋_GB2312"/>
          <w:sz w:val="32"/>
          <w:szCs w:val="32"/>
          <w:lang w:val="en-US" w:eastAsia="zh-CN"/>
        </w:rPr>
        <w:t>2023年度财政拨款收、支总计均为449.42万元，与2022年相比，财政拨款收、支总计各减少25.49万元，下降5.37%。主要原因是人员调整工资及公用经费减少。</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（一）一般公共预算财政拨款支出决算总体情况</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2023年度一般公共预算财政拨款支出449.42万元，占本年支出合计的66.33%。与2022年度相比，财政拨款支出减少25.49万元，下降5.37%,主要原因是人员调整工资及公用经费减少。</w:t>
      </w:r>
    </w:p>
    <w:p>
      <w:pPr>
        <w:pStyle w:val="12"/>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val="0"/>
          <w:sz w:val="32"/>
          <w:szCs w:val="32"/>
        </w:rPr>
      </w:pPr>
      <w:r>
        <w:rPr>
          <w:rFonts w:hint="eastAsia" w:ascii="楷体" w:hAnsi="楷体" w:eastAsia="楷体" w:cs="楷体"/>
          <w:b w:val="0"/>
          <w:bCs/>
          <w:sz w:val="32"/>
          <w:szCs w:val="32"/>
          <w:lang w:val="en-US" w:eastAsia="zh-CN"/>
        </w:rPr>
        <w:t xml:space="preserve">    </w:t>
      </w:r>
      <w:r>
        <w:rPr>
          <w:rFonts w:hint="eastAsia" w:ascii="楷体" w:hAnsi="楷体" w:eastAsia="楷体" w:cs="楷体"/>
          <w:b/>
          <w:bCs w:val="0"/>
          <w:sz w:val="32"/>
          <w:szCs w:val="32"/>
        </w:rPr>
        <w:t>（二）一般公共预算财政拨款支出决算结构情况</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2023年度一般公共预算财政拨款支出449.42万元，主要用于以下方面：一般公共服务（类）支出419.36万元，占93.31%；社会保障和就业（类）支出15.29元，占3.4%；住房保障（类）支出14.77元，占3.29%。</w:t>
      </w:r>
    </w:p>
    <w:p>
      <w:pPr>
        <w:pStyle w:val="12"/>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 xml:space="preserve">    </w:t>
      </w:r>
      <w:r>
        <w:rPr>
          <w:rFonts w:hint="eastAsia" w:ascii="楷体" w:hAnsi="楷体" w:eastAsia="楷体" w:cs="楷体"/>
          <w:b/>
          <w:bCs w:val="0"/>
          <w:sz w:val="32"/>
          <w:szCs w:val="32"/>
        </w:rPr>
        <w:t>（三）一般公共预算财政拨款支出决算具体情况</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2023年度一般公共预算财政拨款支出年初预算为273.69万元，支出决算为449.42万元，完成年初预算的164.21%。其中：</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1、一般公共服务支出（类）群众团体事务（款）行政运行（项）。年初预算为215.18万元，支出决算为231.5万元，完成年初预算的107.58%。决算数大于预算数的主要原因是年中追加预算。</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2、一般公共服务支出（类）群众团体事务（款）一般行政管理事务（项）。年初预算为23.4万元，支出决算为28.15万元，完成年初预算的120.3%。决算数大于预算数的主要原因是年中调剂指标。</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3、一般公共服务支出（类）群众团体事务（款）其他群众团体事务支出（项）。年初预算为0万元，支出决算为159.71万元，因预算数为0，无法计算百分比，决算数大于预算数的主要原因是年中追加预算。</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社会保障和就业支出（类）行政事业单位养老支出（款）机关事业单位基本养老保险缴费支出（项）。年初预算为15.97万元，支出决算为15.29万元，完成年初预算的95.74%。决算数小于预算数的主要原因是我单位严格按预算执行决算。</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5、卫生健康支出（类）行政事业单位医疗（款）公务员医疗补助（项）。年初预算为3.99万元，支出决算为0万元，完成年初预算的0%，决算数小于预算数的主要原因是年中调整预算。</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6、住房保障支出（类）住房改革支出（款）住房公积金（项）。年初预算为15.15万元，支出决算为14.77万元，完成年初预算的97.49%。决算数小于预算数的主要原因是我单位严格按预算执行决算。</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2023年度一般公共预算</w:t>
      </w:r>
      <w:r>
        <w:rPr>
          <w:rFonts w:hint="eastAsia" w:ascii="仿宋_GB2312" w:hAnsi="仿宋_GB2312" w:eastAsia="仿宋_GB2312" w:cs="仿宋_GB2312"/>
          <w:sz w:val="32"/>
          <w:szCs w:val="32"/>
          <w:lang w:val="en-US" w:eastAsia="zh-CN"/>
        </w:rPr>
        <w:t>财政拨款基本支出335.7万元，其中:</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en-US" w:eastAsia="zh-CN"/>
        </w:rPr>
        <w:t>人员经费</w:t>
      </w:r>
      <w:r>
        <w:rPr>
          <w:rFonts w:hint="eastAsia" w:ascii="仿宋_GB2312" w:hAnsi="仿宋_GB2312" w:eastAsia="仿宋_GB2312" w:cs="仿宋_GB2312"/>
          <w:sz w:val="32"/>
          <w:szCs w:val="32"/>
          <w:lang w:val="en-US" w:eastAsia="zh-CN"/>
        </w:rPr>
        <w:t>242.65万元，</w:t>
      </w:r>
      <w:r>
        <w:rPr>
          <w:rFonts w:hint="eastAsia" w:ascii="仿宋_GB2312" w:hAnsi="仿宋_GB2312" w:eastAsia="仿宋_GB2312" w:cs="仿宋_GB2312"/>
          <w:sz w:val="32"/>
          <w:szCs w:val="32"/>
          <w:lang w:val="zh-CN" w:eastAsia="zh-CN"/>
        </w:rPr>
        <w:t>占基本支出的</w:t>
      </w:r>
      <w:r>
        <w:rPr>
          <w:rFonts w:hint="eastAsia" w:ascii="仿宋_GB2312" w:hAnsi="仿宋_GB2312" w:eastAsia="仿宋_GB2312" w:cs="仿宋_GB2312"/>
          <w:sz w:val="32"/>
          <w:szCs w:val="32"/>
          <w:lang w:val="en-US" w:eastAsia="zh-CN"/>
        </w:rPr>
        <w:t>72.28%，主要包括基本工资、津贴补贴、</w:t>
      </w:r>
      <w:r>
        <w:rPr>
          <w:rFonts w:hint="eastAsia" w:ascii="仿宋_GB2312" w:hAnsi="仿宋_GB2312" w:eastAsia="仿宋_GB2312" w:cs="仿宋_GB2312"/>
          <w:sz w:val="32"/>
          <w:szCs w:val="32"/>
          <w:lang w:val="zh-CN" w:eastAsia="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en-US" w:eastAsia="zh-CN"/>
        </w:rPr>
        <w:t>公用经费</w:t>
      </w:r>
      <w:r>
        <w:rPr>
          <w:rFonts w:hint="eastAsia" w:ascii="仿宋_GB2312" w:hAnsi="仿宋_GB2312" w:eastAsia="仿宋_GB2312" w:cs="仿宋_GB2312"/>
          <w:sz w:val="32"/>
          <w:szCs w:val="32"/>
          <w:lang w:val="en-US" w:eastAsia="zh-CN"/>
        </w:rPr>
        <w:t>93.04万元，</w:t>
      </w:r>
      <w:r>
        <w:rPr>
          <w:rFonts w:hint="eastAsia" w:ascii="仿宋_GB2312" w:hAnsi="仿宋_GB2312" w:eastAsia="仿宋_GB2312" w:cs="仿宋_GB2312"/>
          <w:sz w:val="32"/>
          <w:szCs w:val="32"/>
          <w:lang w:val="zh-CN" w:eastAsia="zh-CN"/>
        </w:rPr>
        <w:t>占基本支出的</w:t>
      </w:r>
      <w:r>
        <w:rPr>
          <w:rFonts w:hint="eastAsia" w:ascii="仿宋_GB2312" w:hAnsi="仿宋_GB2312" w:eastAsia="仿宋_GB2312" w:cs="仿宋_GB2312"/>
          <w:sz w:val="32"/>
          <w:szCs w:val="32"/>
          <w:lang w:val="en-US" w:eastAsia="zh-CN"/>
        </w:rPr>
        <w:t>27.72%，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12"/>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olor w:val="auto"/>
          <w:sz w:val="32"/>
          <w:szCs w:val="24"/>
          <w:highlight w:val="white"/>
          <w:lang w:val="zh-CN"/>
        </w:rPr>
      </w:pPr>
      <w:r>
        <w:rPr>
          <w:rFonts w:hint="eastAsia" w:hAnsi="黑体" w:cs="黑体"/>
          <w:b w:val="0"/>
          <w:bCs/>
          <w:sz w:val="32"/>
          <w:szCs w:val="32"/>
          <w:lang w:val="en-US" w:eastAsia="zh-CN"/>
        </w:rPr>
        <w:t xml:space="preserve">    七、</w:t>
      </w:r>
      <w:r>
        <w:rPr>
          <w:rFonts w:hint="eastAsia" w:ascii="黑体" w:hAnsi="黑体" w:eastAsia="黑体" w:cs="黑体"/>
          <w:b w:val="0"/>
          <w:bCs/>
          <w:sz w:val="32"/>
          <w:szCs w:val="32"/>
          <w:lang w:val="en-US" w:eastAsia="zh-CN"/>
        </w:rPr>
        <w:t>政府性基金预算收入支出决算情况</w:t>
      </w:r>
    </w:p>
    <w:p>
      <w:pPr>
        <w:pStyle w:val="12"/>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黑体" w:hAnsi="黑体" w:eastAsia="黑体" w:cs="黑体"/>
          <w:b w:val="0"/>
          <w:bCs/>
          <w:color w:val="000000"/>
          <w:kern w:val="0"/>
          <w:sz w:val="32"/>
          <w:szCs w:val="32"/>
          <w:highlight w:val="none"/>
          <w:lang w:val="en-US" w:eastAsia="zh-CN" w:bidi="ar-SA"/>
        </w:rPr>
      </w:pPr>
      <w:r>
        <w:rPr>
          <w:rFonts w:hint="eastAsia" w:hAnsi="黑体" w:cs="黑体"/>
          <w:b w:val="0"/>
          <w:bCs/>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zh-CN" w:eastAsia="zh-CN" w:bidi="ar-SA"/>
        </w:rPr>
        <w:t>2023年度政府性基金预算财政拨款收入0万元；年初结转和结余0万元；支出0万元，其中基本支出0万元，项目支出0万元；年末结转和结余0万元。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keepNext/>
        <w:keepLines/>
        <w:ind w:firstLine="643"/>
        <w:jc w:val="left"/>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2023年度国有资本经营预算财政拨款收入0万元；年初结转和结余0万；支出0万元，其中：基本支出0万元，项目支出0万元；年末结转和结余0万元。</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度“三公”经费财政拨款支出预算为3.3万元，支出决算为1.76万元,完成预算的53.33%，与上年相比减少2万元，下降55.06%,减少主要原因是认真贯彻落实中央“八项规定”精神和厉行节约要求，从严控制“三公”经费开支，全年实际支出比预算有所节约。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因公出国（境）费支出预算为0万元，支出决算为0万元，由于预算数为0，无法计算完成百分比，主要原因是我单位严格按预算执行决算；与上年一致，无增减变动，主要原因是未安排因公出国（境）活动。</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公务接待费支出预算为0.3万元，支出决算为0.29万元,完成预算的96.67%,决算数小于预算数的主要原因是认真贯彻落实中央“八项规定”精神和厉行节约要求，从严控制“三公”经费开支，全年实际支出比预算有所节约。与上年相比减少0.25万元，下降46.4%,减少主要原因是认真贯彻落实中央“八项规定”精神和厉行节约要求，从严控制“三公”经费开支，全年实际支出比上年有所压减。</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公务用车购置费支出预算为0万元，支出决算为0万元，由于预算数为0，无法计算完成百分比，主要原因是我单位严格按预算执行决算；与上年一致，无增减变动，主要原因是两年均未购置公务用车。</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en-US" w:eastAsia="zh-CN" w:bidi="ar-SA"/>
        </w:rPr>
        <w:t>公务用车运行维护费支出预算为3万元，支出决算为1.47万元,完成预算的49%,决算数小于预算数的主要原因是认真贯彻落实中央“八项规定”精神和厉行节约要求，从严控制“三公”经费开支，全年实际支出比预算有所节约。与上年相比减少1.91万元，下降56.45%,减少主要原因是认真贯彻落实中央“八项规定”精神和厉行节约要求，从严控制“三公”经费开支，全年实际支出比上年有所压减。</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keepNext/>
        <w:keepLines/>
        <w:ind w:firstLine="6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2023年度“三公”经费财政拨款支出决算中，公务接待费支出决算0.29万元，占16.48%；因公出国（境）费支出决算0万元，占0%；公务用车购置费及运行维护费支出决算1.47万元，占83.52%。其中：</w:t>
      </w:r>
    </w:p>
    <w:p>
      <w:pPr>
        <w:keepNext/>
        <w:keepLines/>
        <w:ind w:firstLine="600"/>
        <w:rPr>
          <w:rFonts w:hint="eastAsia" w:ascii="仿宋_GB2312" w:hAnsi="仿宋_GB2312" w:eastAsia="仿宋_GB2312" w:cs="仿宋_GB2312"/>
          <w:b/>
          <w:bCs/>
          <w:i/>
          <w:color w:val="auto"/>
          <w:sz w:val="32"/>
          <w:szCs w:val="32"/>
        </w:rPr>
      </w:pPr>
      <w:r>
        <w:rPr>
          <w:rFonts w:hint="eastAsia" w:ascii="仿宋_GB2312" w:hAnsi="仿宋_GB2312" w:eastAsia="仿宋_GB2312" w:cs="仿宋_GB2312"/>
          <w:color w:val="auto"/>
          <w:kern w:val="2"/>
          <w:sz w:val="32"/>
          <w:szCs w:val="32"/>
          <w:lang w:val="en-US" w:eastAsia="zh-CN" w:bidi="ar-SA"/>
        </w:rPr>
        <w:t>1、因公出国（境）费支出决算为0万元，全年安排因公出国（境）团组0个，累计0人次，我单位2023年度无因公出国（境）费支出。</w:t>
      </w:r>
    </w:p>
    <w:p>
      <w:pPr>
        <w:pStyle w:val="12"/>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 xml:space="preserve"> 2、公务接待费支出决算为0.29万元，全年共接待来访团组5个、来宾23人次。主要用于与有关单位交流工作情况及接受相关部门检查指导工作发生的接待支出。</w:t>
      </w:r>
    </w:p>
    <w:p>
      <w:pPr>
        <w:keepNext w:val="0"/>
        <w:keepLines w:val="0"/>
        <w:pageBreakBefore w:val="0"/>
        <w:widowControl w:val="0"/>
        <w:kinsoku/>
        <w:wordWrap/>
        <w:overflowPunct/>
        <w:topLinePunct w:val="0"/>
        <w:bidi w:val="0"/>
        <w:snapToGrid/>
        <w:spacing w:line="600" w:lineRule="exact"/>
        <w:ind w:firstLine="640"/>
        <w:textAlignment w:val="auto"/>
        <w:rPr>
          <w:rFonts w:hint="eastAsia"/>
          <w:lang w:val="en-US" w:eastAsia="zh-CN"/>
        </w:rPr>
      </w:pPr>
      <w:r>
        <w:rPr>
          <w:rFonts w:hint="eastAsia" w:ascii="仿宋_GB2312" w:hAnsi="仿宋_GB2312" w:eastAsia="仿宋_GB2312" w:cs="仿宋_GB2312"/>
          <w:color w:val="auto"/>
          <w:kern w:val="2"/>
          <w:sz w:val="32"/>
          <w:szCs w:val="32"/>
          <w:lang w:val="en-US" w:eastAsia="zh-CN" w:bidi="ar-SA"/>
        </w:rPr>
        <w:t>3、公务用车购置及运行维护费支出决算为1.47万元，其中：公务用车购置费0万元，当年没有购置公务用车。公务用车运行费支出1.47万元，主要是按规定保留的公务用车的燃料费、维修费、过桥过路费、保险费等支出。截至2023年12月31日，我单位开支财政拨款的公务用车保有量为1辆。</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十</w:t>
      </w:r>
      <w:r>
        <w:rPr>
          <w:rFonts w:hint="eastAsia" w:ascii="黑体" w:hAnsi="黑体" w:eastAsia="黑体" w:cs="黑体"/>
          <w:b w:val="0"/>
          <w:bCs/>
          <w:color w:val="auto"/>
          <w:sz w:val="32"/>
          <w:szCs w:val="32"/>
        </w:rPr>
        <w:t>、关于机关运行经费支出说明</w:t>
      </w:r>
    </w:p>
    <w:p>
      <w:pPr>
        <w:keepNext w:val="0"/>
        <w:keepLines w:val="0"/>
        <w:pageBreakBefore w:val="0"/>
        <w:widowControl w:val="0"/>
        <w:kinsoku/>
        <w:wordWrap/>
        <w:overflowPunct/>
        <w:topLinePunct w:val="0"/>
        <w:bidi w:val="0"/>
        <w:snapToGrid/>
        <w:spacing w:line="600" w:lineRule="exact"/>
        <w:ind w:firstLine="64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2023年度机关运行经费支出93.04万元，比年初预算数增加50.79万元，增长120.21%，主要原因是：上年度部分费用未及时支付及预算年中追加造成增长较大。</w:t>
      </w:r>
    </w:p>
    <w:p>
      <w:pPr>
        <w:pStyle w:val="12"/>
        <w:keepNext w:val="0"/>
        <w:keepLines w:val="0"/>
        <w:pageBreakBefore w:val="0"/>
        <w:widowControl w:val="0"/>
        <w:numPr>
          <w:ilvl w:val="0"/>
          <w:numId w:val="1"/>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一般性支出情况说明</w:t>
      </w:r>
    </w:p>
    <w:p>
      <w:pPr>
        <w:pStyle w:val="12"/>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color w:val="auto"/>
          <w:kern w:val="2"/>
          <w:sz w:val="32"/>
          <w:szCs w:val="32"/>
          <w:lang w:val="en-US" w:eastAsia="zh-CN" w:bidi="ar-SA"/>
        </w:rPr>
        <w:t>2023年度，会议费年初预算9.86万元，支出决算为9.86万元，完成年初预算的100%。用</w:t>
      </w:r>
      <w:r>
        <w:rPr>
          <w:rFonts w:hint="eastAsia" w:ascii="仿宋_GB2312" w:hAnsi="仿宋_GB2312" w:eastAsia="仿宋_GB2312" w:cs="仿宋_GB2312"/>
          <w:sz w:val="32"/>
          <w:szCs w:val="24"/>
          <w:lang w:val="en-US" w:eastAsia="zh-CN"/>
        </w:rPr>
        <w:t>于召开“三八”妇女节座谈会、执委会、“出手吧姐姐”募捐活动部署会、妇儿工委全会等各类会议，人数共约235人，内容为组织先进代表、妇联干部等召开专题座谈会，安排部署年度工作、启动募捐活动等。</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1"/>
        <w:jc w:val="both"/>
        <w:textAlignment w:val="auto"/>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培训费年初预算12.86万元，支出决算为12.86万元，完成年初预算的100%。用于开展“一乡一和姐”“一乡一主播”等培训，人数共约330人，内容为组织全市各乡镇女同志代表参加家庭婚姻纠纷调解、网络主播培训，助力创业就业、助推乡村振兴。</w:t>
      </w:r>
    </w:p>
    <w:p>
      <w:pPr>
        <w:pStyle w:val="12"/>
        <w:keepNext w:val="0"/>
        <w:keepLines w:val="0"/>
        <w:pageBreakBefore w:val="0"/>
        <w:widowControl w:val="0"/>
        <w:numPr>
          <w:ilvl w:val="0"/>
          <w:numId w:val="0"/>
        </w:numPr>
        <w:kinsoku/>
        <w:wordWrap/>
        <w:overflowPunct/>
        <w:topLinePunct w:val="0"/>
        <w:bidi w:val="0"/>
        <w:snapToGrid/>
        <w:spacing w:line="600" w:lineRule="exact"/>
        <w:ind w:firstLine="640"/>
        <w:textAlignment w:val="auto"/>
        <w:rPr>
          <w:rFonts w:hint="eastAsia" w:ascii="仿宋_GB2312" w:hAnsi="仿宋_GB2312" w:eastAsia="仿宋_GB2312" w:cs="仿宋_GB2312"/>
          <w:color w:val="FF0000"/>
          <w:kern w:val="0"/>
          <w:sz w:val="32"/>
          <w:szCs w:val="24"/>
          <w:highlight w:val="white"/>
          <w:lang w:val="en-US"/>
        </w:rPr>
      </w:pPr>
      <w:r>
        <w:rPr>
          <w:rFonts w:hint="eastAsia" w:ascii="仿宋_GB2312" w:hAnsi="仿宋_GB2312" w:eastAsia="仿宋_GB2312" w:cs="仿宋_GB2312"/>
          <w:color w:val="auto"/>
          <w:kern w:val="0"/>
          <w:sz w:val="32"/>
          <w:szCs w:val="24"/>
          <w:highlight w:val="white"/>
          <w:lang w:val="en-US"/>
        </w:rPr>
        <w:t>本单位无举办节庆、晚会、论坛、赛事等活动的预算和支出决算数。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keepNext/>
        <w:keepLines/>
        <w:ind w:firstLine="600"/>
        <w:rPr>
          <w:rFonts w:hint="eastAsia" w:ascii="仿宋_GB2312" w:hAnsi="仿宋_GB2312" w:eastAsia="仿宋_GB2312" w:cs="仿宋_GB2312"/>
          <w:color w:val="auto"/>
          <w:kern w:val="0"/>
          <w:sz w:val="32"/>
          <w:szCs w:val="24"/>
          <w:highlight w:val="white"/>
          <w:lang w:val="en-US" w:eastAsia="zh-CN" w:bidi="ar-SA"/>
        </w:rPr>
      </w:pPr>
      <w:r>
        <w:rPr>
          <w:rFonts w:hint="eastAsia" w:ascii="仿宋_GB2312" w:hAnsi="仿宋_GB2312" w:eastAsia="仿宋_GB2312" w:cs="仿宋_GB2312"/>
          <w:color w:val="auto"/>
          <w:kern w:val="0"/>
          <w:sz w:val="32"/>
          <w:szCs w:val="24"/>
          <w:highlight w:val="white"/>
          <w:lang w:val="en-US" w:eastAsia="zh-CN" w:bidi="ar-SA"/>
        </w:rPr>
        <w:t>2023年度政府采购支出总额85.84万元，其中：政府采购货物支出10.05万元；政府采购工程支出8.38万元；政府采购服务支出67.41万元；授予中小企业合同金额85.84万元，占政府采购支出总额的100%，</w:t>
      </w:r>
    </w:p>
    <w:p>
      <w:pPr>
        <w:keepNext/>
        <w:keepLines/>
        <w:ind w:firstLine="600"/>
        <w:rPr>
          <w:rFonts w:hint="eastAsia" w:ascii="仿宋_GB2312" w:hAnsi="仿宋_GB2312" w:eastAsia="仿宋_GB2312" w:cs="仿宋_GB2312"/>
          <w:color w:val="auto"/>
          <w:kern w:val="0"/>
          <w:sz w:val="32"/>
          <w:szCs w:val="24"/>
          <w:highlight w:val="white"/>
          <w:lang w:val="en-US" w:eastAsia="zh-CN" w:bidi="ar-SA"/>
        </w:rPr>
      </w:pPr>
      <w:r>
        <w:rPr>
          <w:rFonts w:hint="eastAsia" w:ascii="仿宋_GB2312" w:hAnsi="仿宋_GB2312" w:eastAsia="仿宋_GB2312" w:cs="仿宋_GB2312"/>
          <w:color w:val="auto"/>
          <w:kern w:val="0"/>
          <w:sz w:val="32"/>
          <w:szCs w:val="24"/>
          <w:highlight w:val="white"/>
          <w:lang w:val="en-US" w:eastAsia="zh-CN" w:bidi="ar-SA"/>
        </w:rPr>
        <w:t>其中：授予小微企业合同金额85.84万元，占授予中小企业合同金额的100%。货物采购授予中小企业合同金额占货物支出金额的100%。工程采购授予中小企业合同金额占工程支出金额的100%。服务采购授予中小企业合同金额占服务支出金额的100%。</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keepNext/>
        <w:keepLines/>
        <w:ind w:firstLine="600"/>
        <w:rPr>
          <w:rFonts w:hint="eastAsia" w:ascii="仿宋_GB2312" w:hAnsi="仿宋_GB2312" w:eastAsia="仿宋_GB2312" w:cs="仿宋_GB2312"/>
          <w:color w:val="auto"/>
          <w:kern w:val="0"/>
          <w:sz w:val="32"/>
          <w:szCs w:val="24"/>
          <w:highlight w:val="white"/>
          <w:lang w:val="en-US" w:eastAsia="zh-CN" w:bidi="ar-SA"/>
        </w:rPr>
      </w:pPr>
      <w:r>
        <w:rPr>
          <w:rFonts w:hint="eastAsia" w:ascii="仿宋_GB2312" w:hAnsi="仿宋_GB2312" w:eastAsia="仿宋_GB2312" w:cs="仿宋_GB2312"/>
          <w:color w:val="auto"/>
          <w:kern w:val="0"/>
          <w:sz w:val="32"/>
          <w:szCs w:val="24"/>
          <w:highlight w:val="white"/>
          <w:lang w:val="en-US" w:eastAsia="zh-CN" w:bidi="ar-SA"/>
        </w:rPr>
        <w:t>截至2023年12月31日，本单位共有车辆1辆。其中：副部（省）级及以上领导用车0辆、主要负责人用车0辆、机要通信用车0辆、应急保障用车0辆、执法执勤用车0辆、特种专业技术用车0国辆、离退休干部服务用车0辆、其他用车1辆，其他用车主要是用于机要通信和应急保障之外公务用途的车辆；单位价值100万元（含）以上设备0台（套）。</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color w:val="auto"/>
          <w:kern w:val="0"/>
          <w:sz w:val="32"/>
          <w:szCs w:val="24"/>
          <w:highlight w:val="white"/>
          <w:lang w:val="en-US" w:eastAsia="zh-CN" w:bidi="ar-SA"/>
        </w:rPr>
      </w:pPr>
      <w:r>
        <w:rPr>
          <w:rFonts w:hint="eastAsia" w:ascii="仿宋_GB2312" w:hAnsi="仿宋_GB2312" w:eastAsia="仿宋_GB2312" w:cs="仿宋_GB2312"/>
          <w:color w:val="auto"/>
          <w:kern w:val="0"/>
          <w:sz w:val="32"/>
          <w:szCs w:val="24"/>
          <w:highlight w:val="white"/>
          <w:lang w:val="en-US" w:eastAsia="zh-CN" w:bidi="ar-SA"/>
        </w:rPr>
        <w:t>根据预算绩效管理要求，我们组织对2023年度整体支出和项目资金实施了全覆盖性的绩效评价，撰写了绩效自评报告。</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color w:val="auto"/>
          <w:kern w:val="0"/>
          <w:sz w:val="32"/>
          <w:szCs w:val="24"/>
          <w:highlight w:val="white"/>
          <w:lang w:val="en-US" w:eastAsia="zh-CN" w:bidi="ar-SA"/>
        </w:rPr>
      </w:pPr>
      <w:r>
        <w:rPr>
          <w:rFonts w:hint="eastAsia" w:ascii="仿宋_GB2312" w:hAnsi="仿宋_GB2312" w:eastAsia="仿宋_GB2312" w:cs="仿宋_GB2312"/>
          <w:color w:val="auto"/>
          <w:kern w:val="0"/>
          <w:sz w:val="32"/>
          <w:szCs w:val="24"/>
          <w:highlight w:val="white"/>
          <w:lang w:val="en-US" w:eastAsia="zh-CN" w:bidi="ar-SA"/>
        </w:rPr>
        <w:t>组织开展整体支出绩效评价，涉及一般公共预算支出449.42万元，政府性基金预算支出0万元，国有资本经营预算支出0万元。从评价情况来看，整体支出绩效评价中，2023年整体支出677.54万元，其中：基本支出339.20万元，项目支出339.20万元，本单位整体支出绩效自评综合评分96分，评价结果等次为优。</w:t>
      </w:r>
    </w:p>
    <w:p>
      <w:pPr>
        <w:keepNext/>
        <w:keepLines/>
        <w:ind w:firstLine="600"/>
        <w:rPr>
          <w:rFonts w:hint="eastAsia" w:ascii="仿宋_GB2312" w:hAnsi="仿宋_GB2312" w:eastAsia="仿宋_GB2312" w:cs="仿宋_GB2312"/>
          <w:color w:val="auto"/>
          <w:kern w:val="0"/>
          <w:sz w:val="32"/>
          <w:szCs w:val="24"/>
          <w:highlight w:val="white"/>
          <w:lang w:val="en-US" w:eastAsia="zh-CN" w:bidi="ar-SA"/>
        </w:rPr>
      </w:pPr>
      <w:r>
        <w:rPr>
          <w:rFonts w:hint="eastAsia" w:ascii="仿宋_GB2312" w:hAnsi="仿宋_GB2312" w:eastAsia="仿宋_GB2312" w:cs="仿宋_GB2312"/>
          <w:color w:val="auto"/>
          <w:kern w:val="0"/>
          <w:sz w:val="32"/>
          <w:szCs w:val="24"/>
          <w:highlight w:val="white"/>
          <w:lang w:val="en-US" w:eastAsia="zh-CN" w:bidi="ar-SA"/>
        </w:rPr>
        <w:t>组织对一般公共预算项目支出全面开展绩效自评，项目1个，共涉及资金113.72万元，占一般公共预算项目支出总额的100%。组织对政府性基金预算项目支出开展绩效自评，项目0个，共涉及资金0万元，</w:t>
      </w:r>
      <w:r>
        <w:rPr>
          <w:rFonts w:hint="eastAsia" w:ascii="仿宋_GB2312" w:hAnsi="仿宋_GB2312" w:eastAsia="仿宋_GB2312" w:cs="仿宋_GB2312"/>
          <w:color w:val="auto"/>
          <w:kern w:val="0"/>
          <w:sz w:val="32"/>
          <w:szCs w:val="24"/>
          <w:highlight w:val="white"/>
          <w:lang w:val="zh-CN" w:eastAsia="zh-CN" w:bidi="ar-SA"/>
        </w:rPr>
        <w:t>由于政府性基金预算项目支出总额为0，故无法计算占政府性基金预算项目支出总额的比重。组织对国有资本经营预算项目支出开展绩效自评，项目</w:t>
      </w:r>
      <w:r>
        <w:rPr>
          <w:rFonts w:hint="eastAsia" w:ascii="仿宋_GB2312" w:hAnsi="仿宋_GB2312" w:eastAsia="仿宋_GB2312" w:cs="仿宋_GB2312"/>
          <w:color w:val="auto"/>
          <w:kern w:val="0"/>
          <w:sz w:val="32"/>
          <w:szCs w:val="24"/>
          <w:highlight w:val="white"/>
          <w:lang w:val="en-US" w:eastAsia="zh-CN" w:bidi="ar-SA"/>
        </w:rPr>
        <w:t>0</w:t>
      </w:r>
      <w:r>
        <w:rPr>
          <w:rFonts w:hint="eastAsia" w:ascii="仿宋_GB2312" w:hAnsi="仿宋_GB2312" w:eastAsia="仿宋_GB2312" w:cs="仿宋_GB2312"/>
          <w:color w:val="auto"/>
          <w:kern w:val="0"/>
          <w:sz w:val="32"/>
          <w:szCs w:val="24"/>
          <w:highlight w:val="white"/>
          <w:lang w:val="zh-CN" w:eastAsia="zh-CN" w:bidi="ar-SA"/>
        </w:rPr>
        <w:t>个，共涉及资金</w:t>
      </w:r>
      <w:r>
        <w:rPr>
          <w:rFonts w:hint="eastAsia" w:ascii="仿宋_GB2312" w:hAnsi="仿宋_GB2312" w:eastAsia="仿宋_GB2312" w:cs="仿宋_GB2312"/>
          <w:color w:val="auto"/>
          <w:kern w:val="0"/>
          <w:sz w:val="32"/>
          <w:szCs w:val="24"/>
          <w:highlight w:val="white"/>
          <w:lang w:val="en-US" w:eastAsia="zh-CN" w:bidi="ar-SA"/>
        </w:rPr>
        <w:t>0</w:t>
      </w:r>
      <w:r>
        <w:rPr>
          <w:rFonts w:hint="eastAsia" w:ascii="仿宋_GB2312" w:hAnsi="仿宋_GB2312" w:eastAsia="仿宋_GB2312" w:cs="仿宋_GB2312"/>
          <w:color w:val="auto"/>
          <w:kern w:val="0"/>
          <w:sz w:val="32"/>
          <w:szCs w:val="24"/>
          <w:highlight w:val="white"/>
          <w:lang w:val="zh-CN" w:eastAsia="zh-CN" w:bidi="ar-SA"/>
        </w:rPr>
        <w:t>万元，由于国有</w:t>
      </w:r>
      <w:r>
        <w:rPr>
          <w:rFonts w:hint="eastAsia" w:ascii="仿宋_GB2312" w:hAnsi="仿宋_GB2312" w:eastAsia="仿宋_GB2312" w:cs="仿宋_GB2312"/>
          <w:b w:val="0"/>
          <w:bCs w:val="0"/>
          <w:color w:val="auto"/>
          <w:kern w:val="0"/>
          <w:sz w:val="32"/>
          <w:szCs w:val="24"/>
          <w:highlight w:val="white"/>
          <w:lang w:val="zh-CN" w:eastAsia="zh-CN" w:bidi="ar-SA"/>
        </w:rPr>
        <w:t>资本经</w:t>
      </w:r>
      <w:r>
        <w:rPr>
          <w:rFonts w:hint="eastAsia" w:ascii="仿宋_GB2312" w:hAnsi="仿宋_GB2312" w:eastAsia="仿宋_GB2312" w:cs="仿宋_GB2312"/>
          <w:color w:val="auto"/>
          <w:kern w:val="0"/>
          <w:sz w:val="32"/>
          <w:szCs w:val="24"/>
          <w:highlight w:val="white"/>
          <w:lang w:val="zh-CN" w:eastAsia="zh-CN" w:bidi="ar-SA"/>
        </w:rPr>
        <w:t>营预算项目支出总额为0，故无法计算占国有资本经营预算项目支出总额的比重。从评价情况来看，项目绩效自评得分</w:t>
      </w:r>
      <w:r>
        <w:rPr>
          <w:rFonts w:hint="eastAsia" w:ascii="仿宋_GB2312" w:hAnsi="仿宋_GB2312" w:eastAsia="仿宋_GB2312" w:cs="仿宋_GB2312"/>
          <w:color w:val="auto"/>
          <w:kern w:val="0"/>
          <w:sz w:val="32"/>
          <w:szCs w:val="24"/>
          <w:highlight w:val="white"/>
          <w:lang w:val="en-US" w:eastAsia="zh-CN" w:bidi="ar-SA"/>
        </w:rPr>
        <w:t>96</w:t>
      </w:r>
      <w:r>
        <w:rPr>
          <w:rFonts w:hint="eastAsia" w:ascii="仿宋_GB2312" w:hAnsi="仿宋_GB2312" w:eastAsia="仿宋_GB2312" w:cs="仿宋_GB2312"/>
          <w:color w:val="auto"/>
          <w:kern w:val="0"/>
          <w:sz w:val="32"/>
          <w:szCs w:val="24"/>
          <w:highlight w:val="white"/>
          <w:lang w:val="zh-CN" w:eastAsia="zh-CN" w:bidi="ar-SA"/>
        </w:rPr>
        <w:t>分，评价结果等次为</w:t>
      </w:r>
      <w:r>
        <w:rPr>
          <w:rFonts w:hint="eastAsia" w:ascii="仿宋_GB2312" w:hAnsi="仿宋_GB2312" w:eastAsia="仿宋_GB2312" w:cs="仿宋_GB2312"/>
          <w:color w:val="auto"/>
          <w:kern w:val="0"/>
          <w:sz w:val="32"/>
          <w:szCs w:val="24"/>
          <w:highlight w:val="white"/>
          <w:lang w:val="en-US" w:eastAsia="zh-CN" w:bidi="ar-SA"/>
        </w:rPr>
        <w:t>优。</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b w:val="0"/>
          <w:bCs w:val="0"/>
          <w:color w:val="auto"/>
          <w:kern w:val="0"/>
          <w:sz w:val="32"/>
          <w:szCs w:val="24"/>
          <w:highlight w:val="white"/>
          <w:lang w:val="en-US" w:eastAsia="zh-CN" w:bidi="ar-SA"/>
        </w:rPr>
        <w:t>根据年初设定的绩效目标，绩效自评得分为96分。全年预算数为1028.84万元，执行数为677.54万元，完成预算的65%。绩效目标完成情况：一是较好地完成了预定目标，妇联干部履职能力得到提升，活动开展取得了一定社会效应；二是加强预算收支的管理，严格按预算执行，确保了资金有效运转。</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color w:val="FF0000"/>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FF0000"/>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存在的主要问题及原因：一是预算编制还不够合理，提前谋划做得还不够到位；二是预算执行还有偏差，不能完全按预算及时执行到位。下一步改进措施：一是</w:t>
      </w:r>
      <w:r>
        <w:rPr>
          <w:rFonts w:hint="eastAsia" w:ascii="仿宋_GB2312" w:hAnsi="仿宋_GB2312" w:eastAsia="仿宋_GB2312" w:cs="仿宋_GB2312"/>
          <w:b w:val="0"/>
          <w:bCs w:val="0"/>
          <w:color w:val="auto"/>
          <w:kern w:val="0"/>
          <w:sz w:val="32"/>
          <w:szCs w:val="24"/>
          <w:highlight w:val="white"/>
          <w:lang w:val="en-US" w:eastAsia="zh-CN" w:bidi="ar-SA"/>
        </w:rPr>
        <w:t>本着“勤俭节约、保障运转”的原则提前做好工作计划；二是</w:t>
      </w:r>
      <w:r>
        <w:rPr>
          <w:rFonts w:hint="eastAsia" w:ascii="仿宋_GB2312" w:hAnsi="仿宋_GB2312" w:eastAsia="仿宋_GB2312" w:cs="仿宋_GB2312"/>
          <w:b w:val="0"/>
          <w:bCs w:val="0"/>
          <w:color w:val="auto"/>
          <w:kern w:val="0"/>
          <w:sz w:val="32"/>
          <w:szCs w:val="24"/>
          <w:highlight w:val="white"/>
          <w:lang w:val="en-US" w:eastAsia="zh-CN" w:bidi="ar-SA"/>
        </w:rPr>
        <w:t>尽量压缩变动性的、有控制空间的费用项目，进一步提高预算编制的科学性、合理性、严谨性和可控性。</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预算绩效管理开展情况、绩效目标和绩效评价报告等，已在市政府部门财政预决算公开平台上向社会公开，详见附件。</w:t>
      </w:r>
    </w:p>
    <w:p>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pPr>
        <w:pStyle w:val="12"/>
        <w:jc w:val="center"/>
        <w:rPr>
          <w:rFonts w:hint="eastAsia" w:ascii="方正小标宋_GBK" w:hAnsi="方正小标宋_GBK" w:eastAsia="方正小标宋_GBK" w:cs="方正小标宋_GBK"/>
          <w:sz w:val="70"/>
          <w:szCs w:val="70"/>
          <w:lang w:eastAsia="zh-CN"/>
        </w:rPr>
      </w:pPr>
    </w:p>
    <w:p>
      <w:pPr>
        <w:pStyle w:val="12"/>
        <w:jc w:val="center"/>
        <w:rPr>
          <w:rFonts w:hint="eastAsia" w:ascii="方正小标宋_GBK" w:hAnsi="方正小标宋_GBK" w:eastAsia="方正小标宋_GBK" w:cs="方正小标宋_GBK"/>
          <w:sz w:val="70"/>
          <w:szCs w:val="70"/>
          <w:lang w:eastAsia="zh-CN"/>
        </w:rPr>
      </w:pPr>
    </w:p>
    <w:p>
      <w:pPr>
        <w:pStyle w:val="12"/>
        <w:jc w:val="center"/>
        <w:rPr>
          <w:rFonts w:hint="eastAsia" w:ascii="方正小标宋_GBK" w:hAnsi="方正小标宋_GBK" w:eastAsia="方正小标宋_GBK" w:cs="方正小标宋_GBK"/>
          <w:sz w:val="70"/>
          <w:szCs w:val="70"/>
          <w:lang w:eastAsia="zh-CN"/>
        </w:rPr>
      </w:pPr>
    </w:p>
    <w:p>
      <w:pPr>
        <w:pStyle w:val="12"/>
        <w:jc w:val="center"/>
        <w:rPr>
          <w:rFonts w:hint="eastAsia" w:ascii="方正小标宋_GBK" w:hAnsi="方正小标宋_GBK" w:eastAsia="方正小标宋_GBK" w:cs="方正小标宋_GBK"/>
          <w:sz w:val="70"/>
          <w:szCs w:val="70"/>
          <w:lang w:eastAsia="zh-CN"/>
        </w:rPr>
      </w:pPr>
    </w:p>
    <w:p>
      <w:pPr>
        <w:pStyle w:val="12"/>
        <w:jc w:val="center"/>
        <w:rPr>
          <w:rFonts w:hint="eastAsia" w:ascii="方正小标宋_GBK" w:hAnsi="方正小标宋_GBK" w:eastAsia="方正小标宋_GBK" w:cs="方正小标宋_GBK"/>
          <w:sz w:val="70"/>
          <w:szCs w:val="70"/>
          <w:lang w:eastAsia="zh-CN"/>
        </w:rPr>
      </w:pPr>
    </w:p>
    <w:p>
      <w:pPr>
        <w:pStyle w:val="12"/>
        <w:jc w:val="center"/>
        <w:rPr>
          <w:rFonts w:hint="eastAsia" w:ascii="方正小标宋_GBK" w:hAnsi="方正小标宋_GBK" w:eastAsia="方正小标宋_GBK" w:cs="方正小标宋_GBK"/>
          <w:sz w:val="70"/>
          <w:szCs w:val="70"/>
          <w:lang w:eastAsia="zh-CN"/>
        </w:rPr>
      </w:pPr>
    </w:p>
    <w:p>
      <w:pPr>
        <w:pStyle w:val="12"/>
        <w:jc w:val="center"/>
        <w:rPr>
          <w:rFonts w:hint="eastAsia" w:ascii="方正小标宋_GBK" w:hAnsi="方正小标宋_GBK" w:eastAsia="方正小标宋_GBK" w:cs="方正小标宋_GBK"/>
          <w:sz w:val="70"/>
          <w:szCs w:val="70"/>
          <w:lang w:eastAsia="zh-CN"/>
        </w:rPr>
      </w:pPr>
    </w:p>
    <w:p>
      <w:pPr>
        <w:pStyle w:val="12"/>
        <w:jc w:val="center"/>
        <w:rPr>
          <w:rFonts w:hint="eastAsia" w:ascii="方正小标宋_GBK" w:hAnsi="方正小标宋_GBK" w:eastAsia="方正小标宋_GBK" w:cs="方正小标宋_GBK"/>
          <w:sz w:val="70"/>
          <w:szCs w:val="70"/>
          <w:lang w:eastAsia="zh-CN"/>
        </w:rPr>
      </w:pPr>
    </w:p>
    <w:p>
      <w:pPr>
        <w:pStyle w:val="12"/>
        <w:jc w:val="center"/>
        <w:rPr>
          <w:rFonts w:hint="eastAsia" w:ascii="方正小标宋_GBK" w:hAnsi="方正小标宋_GBK" w:eastAsia="方正小标宋_GBK" w:cs="方正小标宋_GBK"/>
          <w:sz w:val="70"/>
          <w:szCs w:val="70"/>
          <w:lang w:eastAsia="zh-CN"/>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bookmarkStart w:id="0" w:name="_GoBack"/>
      <w:bookmarkEnd w:id="0"/>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2"/>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pStyle w:val="3"/>
        <w:ind w:left="0" w:leftChars="0" w:firstLine="0" w:firstLineChars="0"/>
      </w:pPr>
    </w:p>
    <w:p/>
    <w:p>
      <w:pPr>
        <w:pStyle w:val="2"/>
      </w:pP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政府采购 ：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工资福利支出：反映单位开支的在职职工和编制外长期聘用人员的各类劳动报酬，以及为上述人员缴纳的各项社会保险费等。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津贴补贴：反映经国家批准建立的机关事业单位艰苦边远地区津贴、机关工作人员地区附加津贴、机关工作人员岗位津贴、事业单位工作人员特殊岗位津贴补贴等。</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奖金：反映机关工作人员年终一次性奖金。</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伙食补助费：反映单位发给职工的伙食补助费，如误餐补助等。</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机关事业单位基本养老保险缴费：反映机关事业单位缴纳的基本养老保险费。由单位代扣的工作人员基本养老保险缴费，不在此科目反映。</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职工基本医疗保险缴费：反映单位为职工缴纳的基本医疗保险费。</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其他社会保障缴费：反映单位为职工缴纳的基本医疗、失业、工伤、生育等社会保险费，残疾人就业保障金，军队（含武警）为军人缴纳的伤亡、退役医疗等社会保险费。</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住房公积金：反映行政事业单位按人力资源和社会保障部、财政部规定的基本工资和津贴补贴以及规定比例为职工缴纳的住房公积金。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商品和服务支出：反映单位购买商品和服务的支出（不包括用于购置固定资产的支出、战略性和应急储备支出）。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办公费：反映单位购买按财务会计制度规定不符合固定资产确认标准的日常办公用品、书报杂志等支出。</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印刷费：反映单位的印刷费支出。</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水费：反映单位支付的水费、污水处理费等支出。</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邮电费：反映单位开支的信函、包裹、货物等物品的邮寄费及电话费、电报费、传真费、网络通讯费等。</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取暖费：反映单位取暖用燃料费、热力费、炉具购置费、锅炉临时工的工资、节煤奖以及由单位支付的未实行职工住房采暖补贴改革的在职职工和离退休人员宿舍取暖费。</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差旅费：反映单位工作人员出差发生的城市间交通费、住宿费、伙食补贴费和市内交通费。</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维修(护)费：反映单位日常开支的固定资产（不包括车船等交通工具）修理和维护费用，网络信息系统运行与维护费用，以及按规定提取的修购基金。</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会议费：反映会议中按规定开支的住宿费、伙食费、会议室租金、交通费、文件印刷费、医药费等。</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公务接待费：反映单位按规定开支的各类公务接待（含外宾接待）费用。</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劳务费：反映支付给单位和个人的劳务费用，如临时聘用人员、钟点工工资，稿费、翻译费，评审费等。</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委托业务费：反映因委托外单位办理业务而支付的委托业务费。</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工会经费：反映单位按规定提取的工会经费。</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福利费：反映单位按规定提取的福利费。</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公务用车运行维护费：反映单位按规定保留的公务用车燃料费、维修费、过桥过路费、保险费、安全奖励费用等支出。</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其他交通费用：反映单位除公务用车运行维护费以外的其他交通费用。如公务交通补贴，租车费用、出租车费用，飞机、船舶等的燃料费、维修费、保险费等。</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其他商品和服务支出：反映上述科目未包括的日常公用支出。如行政赔偿费和诉讼费、国内组织的会员费、来访费、广告宣传、其他劳务费及离休人员特需费、公用经费等。</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对个人和家庭的补助：反映政府用于对个人和家庭的补助支出。</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退休费：反映行政事业单位和军队移交政府安置的退休人员的退休费和其他补贴。</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其他对个人和家庭的补助支出：反映未包括在上述科目的对个人和家庭的补助支出，</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r>
        <w:rPr>
          <w:rFonts w:hint="eastAsia" w:ascii="仿宋_GB2312" w:hAnsi="仿宋_GB2312" w:eastAsia="仿宋_GB2312" w:cs="仿宋_GB2312"/>
          <w:b w:val="0"/>
          <w:bCs w:val="0"/>
          <w:color w:val="auto"/>
          <w:kern w:val="0"/>
          <w:sz w:val="32"/>
          <w:szCs w:val="24"/>
          <w:highlight w:val="white"/>
          <w:lang w:val="en-US" w:eastAsia="zh-CN" w:bidi="ar-SA"/>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pPr>
        <w:keepNext w:val="0"/>
        <w:keepLines w:val="0"/>
        <w:pageBreakBefore w:val="0"/>
        <w:widowControl w:val="0"/>
        <w:kinsoku/>
        <w:wordWrap/>
        <w:overflowPunct/>
        <w:topLinePunct w:val="0"/>
        <w:autoSpaceDE/>
        <w:autoSpaceDN/>
        <w:bidi w:val="0"/>
        <w:adjustRightInd/>
        <w:snapToGrid/>
        <w:ind w:firstLine="641"/>
        <w:jc w:val="both"/>
        <w:textAlignment w:val="auto"/>
        <w:rPr>
          <w:rFonts w:hint="eastAsia" w:ascii="仿宋_GB2312" w:hAnsi="仿宋_GB2312" w:eastAsia="仿宋_GB2312" w:cs="仿宋_GB2312"/>
          <w:b w:val="0"/>
          <w:bCs w:val="0"/>
          <w:color w:val="auto"/>
          <w:kern w:val="0"/>
          <w:sz w:val="32"/>
          <w:szCs w:val="24"/>
          <w:highlight w:val="white"/>
          <w:lang w:val="en-US" w:eastAsia="zh-CN" w:bidi="ar-SA"/>
        </w:rPr>
      </w:pPr>
    </w:p>
    <w:p>
      <w:pPr>
        <w:pStyle w:val="12"/>
        <w:jc w:val="center"/>
        <w:rPr>
          <w:rFonts w:hint="eastAsia" w:ascii="仿宋_GB2312" w:hAnsi="仿宋_GB2312" w:eastAsia="仿宋_GB2312" w:cs="仿宋_GB2312"/>
          <w:sz w:val="32"/>
          <w:szCs w:val="32"/>
        </w:rPr>
      </w:pPr>
    </w:p>
    <w:p>
      <w:pPr>
        <w:pStyle w:val="12"/>
        <w:jc w:val="center"/>
        <w:rPr>
          <w:rFonts w:hint="eastAsia" w:ascii="仿宋_GB2312" w:hAnsi="仿宋_GB2312" w:eastAsia="仿宋_GB2312" w:cs="仿宋_GB2312"/>
          <w:sz w:val="32"/>
          <w:szCs w:val="32"/>
        </w:rPr>
      </w:pPr>
    </w:p>
    <w:p>
      <w:pPr>
        <w:pStyle w:val="12"/>
        <w:jc w:val="center"/>
        <w:rPr>
          <w:rFonts w:hint="eastAsia" w:ascii="仿宋_GB2312" w:hAnsi="仿宋_GB2312" w:eastAsia="仿宋_GB2312" w:cs="仿宋_GB2312"/>
          <w:sz w:val="32"/>
          <w:szCs w:val="32"/>
        </w:rPr>
      </w:pPr>
    </w:p>
    <w:p>
      <w:pPr>
        <w:pStyle w:val="12"/>
        <w:jc w:val="center"/>
        <w:rPr>
          <w:rFonts w:hint="eastAsia" w:ascii="仿宋_GB2312" w:hAnsi="仿宋_GB2312" w:eastAsia="仿宋_GB2312" w:cs="仿宋_GB2312"/>
          <w:sz w:val="32"/>
          <w:szCs w:val="32"/>
        </w:rPr>
      </w:pPr>
    </w:p>
    <w:p>
      <w:pPr>
        <w:pStyle w:val="12"/>
        <w:jc w:val="center"/>
        <w:rPr>
          <w:rFonts w:hint="eastAsia" w:ascii="仿宋_GB2312" w:hAnsi="仿宋_GB2312" w:eastAsia="仿宋_GB2312" w:cs="仿宋_GB2312"/>
          <w:sz w:val="32"/>
          <w:szCs w:val="32"/>
        </w:rPr>
      </w:pPr>
    </w:p>
    <w:p>
      <w:pPr>
        <w:pStyle w:val="12"/>
        <w:jc w:val="center"/>
        <w:rPr>
          <w:rFonts w:hint="eastAsia" w:ascii="仿宋_GB2312" w:hAnsi="仿宋_GB2312" w:eastAsia="仿宋_GB2312" w:cs="仿宋_GB2312"/>
          <w:sz w:val="32"/>
          <w:szCs w:val="32"/>
        </w:rPr>
      </w:pPr>
    </w:p>
    <w:p>
      <w:pPr>
        <w:pStyle w:val="12"/>
        <w:jc w:val="center"/>
        <w:rPr>
          <w:rFonts w:hint="eastAsia" w:ascii="仿宋_GB2312" w:hAnsi="仿宋_GB2312" w:eastAsia="仿宋_GB2312" w:cs="仿宋_GB2312"/>
          <w:sz w:val="32"/>
          <w:szCs w:val="32"/>
        </w:rPr>
      </w:pPr>
    </w:p>
    <w:p>
      <w:pPr>
        <w:pStyle w:val="12"/>
        <w:jc w:val="center"/>
        <w:rPr>
          <w:rFonts w:hint="eastAsia" w:ascii="仿宋_GB2312" w:hAnsi="仿宋_GB2312" w:eastAsia="仿宋_GB2312" w:cs="仿宋_GB2312"/>
          <w:sz w:val="32"/>
          <w:szCs w:val="32"/>
        </w:rPr>
      </w:pPr>
    </w:p>
    <w:p>
      <w:pPr>
        <w:pStyle w:val="12"/>
        <w:jc w:val="center"/>
        <w:rPr>
          <w:rFonts w:hint="eastAsia" w:ascii="仿宋_GB2312" w:hAnsi="仿宋_GB2312" w:eastAsia="仿宋_GB2312" w:cs="仿宋_GB2312"/>
          <w:sz w:val="32"/>
          <w:szCs w:val="32"/>
        </w:rPr>
      </w:pPr>
    </w:p>
    <w:p>
      <w:pPr>
        <w:pStyle w:val="12"/>
        <w:jc w:val="center"/>
        <w:rPr>
          <w:rFonts w:hint="eastAsia" w:ascii="仿宋_GB2312" w:hAnsi="仿宋_GB2312" w:eastAsia="仿宋_GB2312" w:cs="仿宋_GB2312"/>
          <w:sz w:val="32"/>
          <w:szCs w:val="32"/>
        </w:rPr>
      </w:pPr>
    </w:p>
    <w:p>
      <w:pPr>
        <w:pStyle w:val="12"/>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2"/>
        <w:jc w:val="both"/>
        <w:rPr>
          <w:rFonts w:hint="eastAsia" w:ascii="方正小标宋_GBK" w:hAnsi="方正小标宋_GBK" w:eastAsia="方正小标宋_GBK" w:cs="方正小标宋_GBK"/>
          <w:sz w:val="70"/>
          <w:szCs w:val="70"/>
          <w:lang w:eastAsia="zh-CN"/>
        </w:rPr>
      </w:pPr>
    </w:p>
    <w:p>
      <w:pPr>
        <w:pStyle w:val="12"/>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pStyle w:val="2"/>
        <w:rPr>
          <w:rFonts w:hint="eastAsia" w:ascii="宋体" w:hAnsi="宋体" w:eastAsia="宋体" w:cs="黑体"/>
          <w:b/>
          <w:color w:val="000000"/>
          <w:kern w:val="0"/>
          <w:sz w:val="32"/>
          <w:szCs w:val="32"/>
          <w:lang w:val="en-US" w:eastAsia="zh-CN"/>
        </w:rPr>
      </w:pPr>
    </w:p>
    <w:p>
      <w:pPr>
        <w:pStyle w:val="3"/>
        <w:rPr>
          <w:rFonts w:hint="eastAsia" w:ascii="宋体" w:hAnsi="宋体" w:eastAsia="宋体" w:cs="黑体"/>
          <w:b/>
          <w:color w:val="000000"/>
          <w:kern w:val="0"/>
          <w:sz w:val="32"/>
          <w:szCs w:val="32"/>
          <w:lang w:val="en-US" w:eastAsia="zh-CN"/>
        </w:rPr>
      </w:pPr>
    </w:p>
    <w:p>
      <w:pPr>
        <w:rPr>
          <w:rFonts w:hint="eastAsia" w:ascii="宋体" w:hAnsi="宋体" w:eastAsia="宋体" w:cs="黑体"/>
          <w:b/>
          <w:color w:val="000000"/>
          <w:kern w:val="0"/>
          <w:sz w:val="32"/>
          <w:szCs w:val="32"/>
          <w:lang w:val="en-US" w:eastAsia="zh-CN"/>
        </w:rPr>
      </w:pPr>
    </w:p>
    <w:p>
      <w:pPr>
        <w:pStyle w:val="2"/>
        <w:rPr>
          <w:rFonts w:hint="eastAsia" w:ascii="宋体" w:hAnsi="宋体" w:eastAsia="宋体" w:cs="黑体"/>
          <w:b/>
          <w:color w:val="000000"/>
          <w:kern w:val="0"/>
          <w:sz w:val="32"/>
          <w:szCs w:val="32"/>
          <w:lang w:val="en-US" w:eastAsia="zh-CN"/>
        </w:rPr>
      </w:pPr>
    </w:p>
    <w:p>
      <w:pPr>
        <w:pStyle w:val="3"/>
        <w:rPr>
          <w:rFonts w:hint="eastAsia" w:ascii="宋体" w:hAnsi="宋体" w:eastAsia="宋体" w:cs="黑体"/>
          <w:b/>
          <w:color w:val="000000"/>
          <w:kern w:val="0"/>
          <w:sz w:val="32"/>
          <w:szCs w:val="32"/>
          <w:lang w:val="en-US" w:eastAsia="zh-CN"/>
        </w:rPr>
      </w:pPr>
    </w:p>
    <w:p>
      <w:pPr>
        <w:rPr>
          <w:rFonts w:hint="eastAsia" w:ascii="宋体" w:hAnsi="宋体" w:eastAsia="宋体" w:cs="黑体"/>
          <w:b/>
          <w:color w:val="000000"/>
          <w:kern w:val="0"/>
          <w:sz w:val="32"/>
          <w:szCs w:val="32"/>
          <w:lang w:val="en-US" w:eastAsia="zh-CN"/>
        </w:rPr>
      </w:pPr>
    </w:p>
    <w:p>
      <w:pPr>
        <w:pStyle w:val="2"/>
        <w:rPr>
          <w:rFonts w:hint="eastAsia" w:ascii="宋体" w:hAnsi="宋体" w:eastAsia="宋体" w:cs="黑体"/>
          <w:b/>
          <w:color w:val="000000"/>
          <w:kern w:val="0"/>
          <w:sz w:val="32"/>
          <w:szCs w:val="32"/>
          <w:lang w:val="en-US" w:eastAsia="zh-CN"/>
        </w:rPr>
      </w:pPr>
    </w:p>
    <w:p>
      <w:pPr>
        <w:pStyle w:val="3"/>
        <w:rPr>
          <w:rFonts w:hint="eastAsia" w:ascii="宋体" w:hAnsi="宋体" w:eastAsia="宋体" w:cs="黑体"/>
          <w:b/>
          <w:color w:val="000000"/>
          <w:kern w:val="0"/>
          <w:sz w:val="32"/>
          <w:szCs w:val="32"/>
          <w:lang w:val="en-US" w:eastAsia="zh-CN"/>
        </w:rPr>
      </w:pPr>
    </w:p>
    <w:p>
      <w:pPr>
        <w:rPr>
          <w:rFonts w:hint="eastAsia" w:ascii="宋体" w:hAnsi="宋体" w:eastAsia="宋体" w:cs="黑体"/>
          <w:b/>
          <w:color w:val="000000"/>
          <w:kern w:val="0"/>
          <w:sz w:val="32"/>
          <w:szCs w:val="32"/>
          <w:lang w:val="en-US" w:eastAsia="zh-CN"/>
        </w:rPr>
      </w:pPr>
    </w:p>
    <w:p>
      <w:pPr>
        <w:pStyle w:val="2"/>
        <w:rPr>
          <w:rFonts w:hint="eastAsia" w:ascii="宋体" w:hAnsi="宋体" w:eastAsia="宋体" w:cs="黑体"/>
          <w:b/>
          <w:color w:val="000000"/>
          <w:kern w:val="0"/>
          <w:sz w:val="32"/>
          <w:szCs w:val="32"/>
          <w:lang w:val="en-US" w:eastAsia="zh-CN"/>
        </w:rPr>
      </w:pPr>
    </w:p>
    <w:p>
      <w:pPr>
        <w:pStyle w:val="3"/>
        <w:rPr>
          <w:rFonts w:hint="eastAsia" w:ascii="宋体" w:hAnsi="宋体" w:eastAsia="宋体" w:cs="黑体"/>
          <w:b/>
          <w:color w:val="000000"/>
          <w:kern w:val="0"/>
          <w:sz w:val="32"/>
          <w:szCs w:val="32"/>
          <w:lang w:val="en-US" w:eastAsia="zh-CN"/>
        </w:rPr>
      </w:pPr>
    </w:p>
    <w:p>
      <w:pPr>
        <w:rPr>
          <w:rFonts w:hint="eastAsia"/>
          <w:lang w:val="en-US" w:eastAsia="zh-CN"/>
        </w:rPr>
      </w:pPr>
    </w:p>
    <w:p>
      <w:pPr>
        <w:ind w:firstLine="640" w:firstLineChars="200"/>
        <w:jc w:val="left"/>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1、2023年部门决算公开表格</w:t>
      </w:r>
    </w:p>
    <w:p>
      <w:pPr>
        <w:ind w:firstLine="640" w:firstLineChars="200"/>
        <w:jc w:val="left"/>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lang w:val="en-US" w:eastAsia="zh-CN"/>
        </w:rPr>
        <w:t>2、</w:t>
      </w:r>
      <w:r>
        <w:rPr>
          <w:rFonts w:hint="eastAsia" w:ascii="仿宋_GB2312" w:hAnsi="仿宋_GB2312" w:eastAsia="仿宋_GB2312" w:cs="仿宋_GB2312"/>
          <w:b w:val="0"/>
          <w:bCs/>
          <w:color w:val="000000"/>
          <w:kern w:val="0"/>
          <w:sz w:val="32"/>
          <w:szCs w:val="32"/>
        </w:rPr>
        <w:t>202</w:t>
      </w:r>
      <w:r>
        <w:rPr>
          <w:rFonts w:hint="eastAsia" w:ascii="仿宋_GB2312" w:hAnsi="仿宋_GB2312" w:eastAsia="仿宋_GB2312" w:cs="仿宋_GB2312"/>
          <w:b w:val="0"/>
          <w:bCs/>
          <w:color w:val="000000"/>
          <w:kern w:val="0"/>
          <w:sz w:val="32"/>
          <w:szCs w:val="32"/>
          <w:lang w:val="en-US" w:eastAsia="zh-CN"/>
        </w:rPr>
        <w:t>3</w:t>
      </w:r>
      <w:r>
        <w:rPr>
          <w:rFonts w:hint="eastAsia" w:ascii="仿宋_GB2312" w:hAnsi="仿宋_GB2312" w:eastAsia="仿宋_GB2312" w:cs="仿宋_GB2312"/>
          <w:b w:val="0"/>
          <w:bCs/>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FD1001"/>
    <w:multiLevelType w:val="singleLevel"/>
    <w:tmpl w:val="7BFD1001"/>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6C857E7"/>
    <w:rsid w:val="08C24A73"/>
    <w:rsid w:val="12583BA5"/>
    <w:rsid w:val="13BA5B9C"/>
    <w:rsid w:val="1D97DEFF"/>
    <w:rsid w:val="1DFF72E5"/>
    <w:rsid w:val="1EFC6F07"/>
    <w:rsid w:val="1F0527A6"/>
    <w:rsid w:val="22AC03C2"/>
    <w:rsid w:val="2ABF268E"/>
    <w:rsid w:val="2FDF85B8"/>
    <w:rsid w:val="2FFFEE04"/>
    <w:rsid w:val="31C95635"/>
    <w:rsid w:val="34DF85B0"/>
    <w:rsid w:val="3B8F36BC"/>
    <w:rsid w:val="3EEF54D7"/>
    <w:rsid w:val="491FF225"/>
    <w:rsid w:val="4FFD214C"/>
    <w:rsid w:val="5352765A"/>
    <w:rsid w:val="5777D4F5"/>
    <w:rsid w:val="59DD8326"/>
    <w:rsid w:val="5DEF592A"/>
    <w:rsid w:val="5FC6BB1E"/>
    <w:rsid w:val="5FF720F1"/>
    <w:rsid w:val="67FF5C0B"/>
    <w:rsid w:val="6BAA4A2F"/>
    <w:rsid w:val="6EFC0924"/>
    <w:rsid w:val="6FB74722"/>
    <w:rsid w:val="6FC7C4CD"/>
    <w:rsid w:val="6FEF8B7E"/>
    <w:rsid w:val="71A6591B"/>
    <w:rsid w:val="737D59BA"/>
    <w:rsid w:val="737F32B1"/>
    <w:rsid w:val="76F9D0EE"/>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9EE1D62"/>
    <w:rsid w:val="CBFF70E0"/>
    <w:rsid w:val="CFF50B82"/>
    <w:rsid w:val="CFFFAD89"/>
    <w:rsid w:val="DFDF0F0D"/>
    <w:rsid w:val="DFFE359E"/>
    <w:rsid w:val="DFFE4FFD"/>
    <w:rsid w:val="E67F5037"/>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1</TotalTime>
  <ScaleCrop>false</ScaleCrop>
  <LinksUpToDate>false</LinksUpToDate>
  <CharactersWithSpaces>9008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2020-07-08T18:32:00Z</dcterms:created>
  <dc:creator>李航 null</dc:creator>
  <cp:lastModifiedBy>xjkp</cp:lastModifiedBy>
  <cp:lastPrinted>2024-08-09T02:20:00Z</cp:lastPrinted>
  <dcterms:modified xsi:type="dcterms:W3CDTF">2024-09-23T14:57:53Z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98623D6660B449428EB8E073C6C952EA</vt:lpwstr>
  </property>
</Properties>
</file>