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方正小标宋简体" w:hAnsi="黑体" w:eastAsia="方正小标宋简体" w:cs="黑体"/>
          <w:color w:val="FF0000"/>
          <w:spacing w:val="-34"/>
          <w:w w:val="80"/>
          <w:sz w:val="11"/>
          <w:szCs w:val="11"/>
        </w:rPr>
      </w:pPr>
      <w:bookmarkStart w:id="0" w:name="OLE_LINK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方正小标宋简体" w:hAnsi="黑体" w:eastAsia="方正小标宋简体" w:cs="黑体"/>
          <w:color w:val="FF0000"/>
          <w:spacing w:val="-34"/>
          <w:w w:val="80"/>
          <w:sz w:val="11"/>
          <w:szCs w:val="11"/>
        </w:rPr>
      </w:pPr>
    </w:p>
    <w:bookmarkEnd w:id="0"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center"/>
        <w:rPr>
          <w:rFonts w:hint="eastAsia" w:ascii="仿宋_GB2312" w:hAnsi="仿宋_GB2312" w:eastAsia="方正小标宋简体"/>
          <w:spacing w:val="-20"/>
          <w:w w:val="50"/>
          <w:sz w:val="144"/>
          <w:szCs w:val="144"/>
        </w:rPr>
      </w:pPr>
      <w:r>
        <w:rPr>
          <w:rFonts w:hint="eastAsia" w:ascii="方正小标宋简体" w:hAnsi="黑体" w:eastAsia="方正小标宋简体" w:cs="黑体"/>
          <w:color w:val="FF0000"/>
          <w:spacing w:val="-20"/>
          <w:w w:val="50"/>
          <w:sz w:val="96"/>
          <w:szCs w:val="96"/>
        </w:rPr>
        <w:t>岳阳市</w:t>
      </w:r>
      <w:r>
        <w:rPr>
          <w:rFonts w:hint="eastAsia" w:ascii="方正小标宋简体" w:hAnsi="黑体" w:eastAsia="方正小标宋简体" w:cs="黑体"/>
          <w:color w:val="FF0000"/>
          <w:spacing w:val="-20"/>
          <w:w w:val="50"/>
          <w:sz w:val="96"/>
          <w:szCs w:val="96"/>
          <w:lang w:eastAsia="zh-CN"/>
        </w:rPr>
        <w:t>人民政府妇女儿童工作委员会</w:t>
      </w:r>
      <w:r>
        <w:rPr>
          <w:rFonts w:hint="eastAsia" w:ascii="方正小标宋简体" w:hAnsi="黑体" w:eastAsia="方正小标宋简体" w:cs="黑体"/>
          <w:color w:val="FF0000"/>
          <w:spacing w:val="-20"/>
          <w:w w:val="50"/>
          <w:sz w:val="96"/>
          <w:szCs w:val="96"/>
        </w:rPr>
        <w:t>文件</w:t>
      </w:r>
    </w:p>
    <w:p>
      <w:pPr>
        <w:spacing w:line="240" w:lineRule="exact"/>
        <w:jc w:val="center"/>
        <w:rPr>
          <w:rFonts w:eastAsia="楷体_GB2312" w:cs="Times New Roman"/>
          <w:sz w:val="28"/>
          <w:szCs w:val="28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楷体" w:eastAsia="楷体" w:cs="楷体"/>
          <w:sz w:val="32"/>
          <w:szCs w:val="32"/>
          <w:lang w:eastAsia="zh-CN"/>
        </w:rPr>
        <w:t>岳</w:t>
      </w:r>
      <w:r>
        <w:rPr>
          <w:rFonts w:hint="eastAsia" w:ascii="Times New Roman" w:hAnsi="楷体" w:eastAsia="楷体" w:cs="楷体"/>
          <w:sz w:val="32"/>
          <w:szCs w:val="32"/>
        </w:rPr>
        <w:t>妇儿工委</w:t>
      </w:r>
      <w:r>
        <w:rPr>
          <w:rFonts w:hint="eastAsia" w:ascii="Times New Roman" w:hAnsi="楷体" w:eastAsia="楷体" w:cs="楷体"/>
          <w:sz w:val="32"/>
          <w:szCs w:val="32"/>
          <w:lang w:eastAsia="zh-CN"/>
        </w:rPr>
        <w:t>办字</w:t>
      </w:r>
      <w:r>
        <w:rPr>
          <w:rFonts w:hint="eastAsia" w:ascii="Times New Roman" w:hAnsi="楷体" w:eastAsia="楷体" w:cs="楷体"/>
          <w:color w:val="000000"/>
          <w:sz w:val="32"/>
          <w:szCs w:val="32"/>
        </w:rPr>
        <w:t>〔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楷体" w:eastAsia="楷体" w:cs="楷体"/>
          <w:color w:val="000000"/>
          <w:sz w:val="32"/>
          <w:szCs w:val="32"/>
        </w:rPr>
        <w:t>〕</w:t>
      </w:r>
      <w:r>
        <w:rPr>
          <w:rFonts w:hint="eastAsia" w:ascii="Times New Roman" w:hAnsi="楷体" w:eastAsia="楷体" w:cs="楷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楷体" w:eastAsia="楷体" w:cs="楷体"/>
          <w:sz w:val="32"/>
          <w:szCs w:val="32"/>
        </w:rPr>
        <w:t>号</w:t>
      </w:r>
    </w:p>
    <w:p>
      <w:pPr>
        <w:tabs>
          <w:tab w:val="center" w:pos="4264"/>
        </w:tabs>
        <w:spacing w:line="580" w:lineRule="exact"/>
        <w:rPr>
          <w:rStyle w:val="9"/>
          <w:rFonts w:ascii="黑体" w:hAnsi="黑体" w:eastAsia="黑体" w:cs="黑体"/>
          <w:b w:val="0"/>
          <w:color w:val="000000"/>
          <w:sz w:val="44"/>
          <w:szCs w:val="44"/>
        </w:rPr>
      </w:pP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246380</wp:posOffset>
                </wp:positionV>
                <wp:extent cx="5316220" cy="762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20" cy="76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pt;margin-top:19.4pt;height:0.6pt;width:418.6pt;z-index:251664384;mso-width-relative:page;mso-height-relative:page;" filled="f" stroked="t" coordsize="21600,21600" o:gfxdata="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s8NY3Y&#10;AAAACAEAAA8AAAAAAAAAAQAgAAAAIgAAAGRycy9kb3ducmV2LnhtbFBLAQIUABQAAAAIAIdO4kDk&#10;mJFE5wEAAKQDAAAOAAAAAAAAAAEAIAAAACc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000000"/>
          <w:sz w:val="44"/>
          <w:szCs w:val="44"/>
        </w:rPr>
        <w:t>关于反对家庭暴力工作进行督导检查的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通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ab/>
        <w:t/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ab/>
      </w:r>
      <w:r>
        <w:rPr>
          <w:rFonts w:hint="eastAsia" w:ascii="方正小标宋简体" w:eastAsia="方正小标宋简体"/>
          <w:color w:val="000000"/>
          <w:sz w:val="44"/>
          <w:szCs w:val="44"/>
        </w:rPr>
        <w:t>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各县区妇儿工委办、市直相关单位：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为进一步推进我市贯彻执行反家庭暴力法律法规，有效预防和制止家庭暴力，更好地促进家庭和谐、社会稳定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根据《湖南省实施&lt;中华人民共和国反家庭暴力法&gt;办法》，经研究，</w:t>
      </w:r>
      <w:r>
        <w:rPr>
          <w:rFonts w:hint="eastAsia" w:ascii="仿宋_GB2312" w:eastAsia="仿宋_GB2312"/>
          <w:sz w:val="32"/>
          <w:szCs w:val="32"/>
        </w:rPr>
        <w:t>市妇儿工委将于近期在全市开展</w:t>
      </w:r>
      <w:r>
        <w:rPr>
          <w:rFonts w:hint="eastAsia" w:ascii="仿宋_GB2312" w:eastAsia="仿宋_GB2312"/>
          <w:color w:val="000000"/>
          <w:sz w:val="32"/>
          <w:szCs w:val="32"/>
        </w:rPr>
        <w:t>反家庭暴力工作</w:t>
      </w:r>
      <w:r>
        <w:rPr>
          <w:rFonts w:hint="eastAsia" w:ascii="仿宋_GB2312" w:eastAsia="仿宋_GB2312"/>
          <w:sz w:val="32"/>
          <w:szCs w:val="32"/>
        </w:rPr>
        <w:t>督导检查，现将有关事项通知如下：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一、督查时间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2020年9月1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日-25日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二、督查内容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反家庭暴力工作组织领导、工作职责落实情况。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阵地建设情况，包括家庭暴力投诉受理点、临时庇护场所、家庭暴力纠纷调处等；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反家庭暴力工作法制宣传教育情况；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spacing w:val="-11"/>
          <w:kern w:val="0"/>
          <w:sz w:val="32"/>
          <w:szCs w:val="32"/>
        </w:rPr>
        <w:t>将预防和制止家庭暴力纳入业务培训和统计工作情况；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反家庭暴力工作文档资料情况等。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三、督导方式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采取书面资料报送、实地查看现场等形式进行。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四、有关要求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请各单位要充分认识反家庭暴力工作的重大意义，切实履行主体责任，严格按照相关法律法规要求，尽好责、抓到位、见实效。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对照《湖南省实施&lt;中华人民共和国反家庭暴力法&gt;办法》《岳阳市实施&lt;中华人民共和国反家庭暴力法&gt;主要工作部门职责分工》（岳妇儿工委字﹝2017﹞3号）内容逐条逐项开展自查，全面总结反家暴工作典型案例和特色、亮点工作，准备好有关档案资料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做好反家暴教育宣传工作，注意收集整理宣传工作有关文字、图片、统计数据等资料，总结活动成效。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落实好反家暴阵地建设，做到有场所，对外挂牌，工作制度等资料台帐健全。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五、报送时间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请各单位深入开展自查，并于9月23前将自查报告及佐证资料发至妇儿工委办邮箱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540010942@QQ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.com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），联系人：许婷婷，电话：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8889571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480" w:firstLineChars="14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center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center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岳阳市人民政府妇女儿童工作委员会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480" w:firstLineChars="1400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2020年 9月1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F"/>
    <w:rsid w:val="000D66AF"/>
    <w:rsid w:val="00142318"/>
    <w:rsid w:val="00157520"/>
    <w:rsid w:val="002F1658"/>
    <w:rsid w:val="005C0E1C"/>
    <w:rsid w:val="007C231B"/>
    <w:rsid w:val="007D3287"/>
    <w:rsid w:val="00803EC8"/>
    <w:rsid w:val="009057D0"/>
    <w:rsid w:val="00BE06CC"/>
    <w:rsid w:val="00D577B2"/>
    <w:rsid w:val="00E26E5C"/>
    <w:rsid w:val="100E69E6"/>
    <w:rsid w:val="2EC921AB"/>
    <w:rsid w:val="34A37661"/>
    <w:rsid w:val="45FC3543"/>
    <w:rsid w:val="659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adjustRightInd/>
      <w:snapToGrid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2020-09-13T10:39:00Z</dcterms:created>
  <dc:creator>shendu</dc:creator>
  <cp:lastModifiedBy>Administrator</cp:lastModifiedBy>
  <cp:lastPrinted>2020-09-16T06:53:00Z</cp:lastPrinted>
  <dcterms:modified xsi:type="dcterms:W3CDTF">2020-09-16T06:53:38Z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